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3"/>
        <w:widowControl/>
        <w:wordWrap/>
        <w:adjustRightInd/>
        <w:snapToGrid/>
        <w:spacing w:before="0" w:beforeAutospacing="0" w:after="0" w:afterAutospacing="0" w:line="360" w:lineRule="auto"/>
        <w:ind w:left="0" w:leftChars="0" w:right="0"/>
        <w:jc w:val="center"/>
        <w:textAlignment w:val="auto"/>
        <w:outlineLvl w:val="9"/>
        <w:rPr>
          <w:rFonts w:hint="eastAsia" w:ascii="宋体" w:hAnsi="宋体" w:eastAsia="宋体" w:cs="宋体"/>
          <w:b/>
          <w:bCs/>
          <w:sz w:val="44"/>
          <w:szCs w:val="44"/>
          <w:shd w:val="clear" w:color="030000" w:fill="FFFFFF"/>
          <w:lang w:val="en-US" w:eastAsia="zh-CN"/>
        </w:rPr>
      </w:pPr>
      <w:r>
        <w:rPr>
          <w:rFonts w:hint="eastAsia" w:ascii="宋体" w:hAnsi="宋体" w:eastAsia="宋体" w:cs="宋体"/>
          <w:b/>
          <w:bCs/>
          <w:sz w:val="44"/>
          <w:szCs w:val="44"/>
          <w:shd w:val="clear" w:color="030000" w:fill="FFFFFF"/>
          <w:lang w:val="en-US" w:eastAsia="zh-CN"/>
        </w:rPr>
        <w:t>关于代销“华润信托-君融全天候1号集合资金信托计划”的公告</w:t>
      </w:r>
    </w:p>
    <w:p>
      <w:pPr>
        <w:pStyle w:val="3"/>
        <w:widowControl/>
        <w:wordWrap/>
        <w:adjustRightInd/>
        <w:snapToGrid/>
        <w:spacing w:before="0" w:beforeAutospacing="0" w:after="0" w:afterAutospacing="0" w:line="360" w:lineRule="auto"/>
        <w:ind w:left="0" w:leftChars="0" w:right="0"/>
        <w:jc w:val="left"/>
        <w:textAlignment w:val="auto"/>
        <w:outlineLvl w:val="9"/>
        <w:rPr>
          <w:rFonts w:hint="eastAsia" w:ascii="宋体" w:hAnsi="宋体" w:eastAsia="宋体" w:cs="宋体"/>
          <w:b/>
          <w:bCs/>
          <w:sz w:val="24"/>
          <w:szCs w:val="24"/>
          <w:shd w:val="clear" w:color="030000" w:fill="FFFFFF"/>
          <w:lang w:val="en-US" w:eastAsia="zh-CN"/>
        </w:rPr>
      </w:pPr>
    </w:p>
    <w:p>
      <w:pPr>
        <w:pStyle w:val="3"/>
        <w:widowControl/>
        <w:wordWrap/>
        <w:adjustRightInd/>
        <w:snapToGrid/>
        <w:spacing w:before="0" w:beforeAutospacing="0" w:after="0" w:afterAutospacing="0" w:line="360" w:lineRule="auto"/>
        <w:ind w:left="0" w:leftChars="0" w:right="0"/>
        <w:jc w:val="left"/>
        <w:textAlignment w:val="auto"/>
        <w:outlineLvl w:val="9"/>
        <w:rPr>
          <w:rFonts w:hint="eastAsia" w:ascii="仿宋" w:hAnsi="仿宋" w:eastAsia="仿宋" w:cs="仿宋"/>
          <w:sz w:val="32"/>
          <w:szCs w:val="32"/>
        </w:rPr>
      </w:pPr>
      <w:r>
        <w:rPr>
          <w:rFonts w:hint="eastAsia" w:ascii="仿宋" w:hAnsi="仿宋" w:eastAsia="仿宋" w:cs="仿宋"/>
          <w:b/>
          <w:bCs/>
          <w:sz w:val="32"/>
          <w:szCs w:val="32"/>
          <w:shd w:val="clear" w:color="030000" w:fill="FFFFFF"/>
          <w:lang w:val="en-US" w:eastAsia="zh-CN"/>
        </w:rPr>
        <w:t>尊敬的投资者</w:t>
      </w:r>
      <w:r>
        <w:rPr>
          <w:rFonts w:hint="eastAsia" w:ascii="仿宋" w:hAnsi="仿宋" w:eastAsia="仿宋" w:cs="仿宋"/>
          <w:sz w:val="32"/>
          <w:szCs w:val="32"/>
          <w:shd w:val="clear" w:color="030000" w:fill="FFFFFF"/>
        </w:rPr>
        <w:t>：</w:t>
      </w:r>
    </w:p>
    <w:p>
      <w:pPr>
        <w:numPr>
          <w:numId w:val="0"/>
        </w:numPr>
        <w:wordWrap/>
        <w:adjustRightInd/>
        <w:snapToGrid/>
        <w:spacing w:line="360" w:lineRule="auto"/>
        <w:ind w:left="0" w:leftChars="0" w:right="0" w:firstLine="480" w:firstLineChars="200"/>
        <w:textAlignment w:val="auto"/>
        <w:outlineLvl w:val="9"/>
        <w:rPr>
          <w:rFonts w:hint="eastAsia" w:ascii="仿宋" w:hAnsi="仿宋" w:eastAsia="仿宋" w:cs="仿宋"/>
          <w:sz w:val="32"/>
          <w:szCs w:val="32"/>
        </w:rPr>
      </w:pPr>
      <w:r>
        <w:rPr>
          <w:rFonts w:hint="eastAsia" w:ascii="仿宋" w:hAnsi="仿宋" w:eastAsia="仿宋" w:cs="仿宋"/>
          <w:sz w:val="32"/>
          <w:szCs w:val="32"/>
          <w:shd w:val="clear" w:color="030000" w:fill="FFFFFF"/>
          <w:lang w:val="en-US" w:eastAsia="zh-CN"/>
        </w:rPr>
        <w:t>本</w:t>
      </w:r>
      <w:r>
        <w:rPr>
          <w:rFonts w:hint="eastAsia" w:ascii="仿宋" w:hAnsi="仿宋" w:eastAsia="仿宋" w:cs="仿宋"/>
          <w:sz w:val="32"/>
          <w:szCs w:val="32"/>
          <w:shd w:val="clear" w:color="030000" w:fill="FFFFFF"/>
        </w:rPr>
        <w:t>行</w:t>
      </w:r>
      <w:r>
        <w:rPr>
          <w:rFonts w:hint="eastAsia" w:ascii="仿宋" w:hAnsi="仿宋" w:eastAsia="仿宋" w:cs="仿宋"/>
          <w:sz w:val="32"/>
          <w:szCs w:val="32"/>
          <w:shd w:val="clear" w:color="030000" w:fill="FFFFFF"/>
          <w:lang w:val="en-US" w:eastAsia="zh-CN"/>
        </w:rPr>
        <w:t>自2024年3月11日起</w:t>
      </w:r>
      <w:r>
        <w:rPr>
          <w:rFonts w:hint="eastAsia" w:ascii="仿宋" w:hAnsi="仿宋" w:eastAsia="仿宋" w:cs="仿宋"/>
          <w:sz w:val="32"/>
          <w:szCs w:val="32"/>
          <w:shd w:val="clear" w:color="030000" w:fill="FFFFFF"/>
        </w:rPr>
        <w:t>代理销售</w:t>
      </w:r>
      <w:r>
        <w:rPr>
          <w:rFonts w:hint="eastAsia" w:ascii="仿宋" w:hAnsi="仿宋" w:eastAsia="仿宋" w:cs="仿宋"/>
          <w:sz w:val="32"/>
          <w:szCs w:val="32"/>
          <w:shd w:val="clear" w:color="030000" w:fill="FFFFFF"/>
          <w:lang w:eastAsia="zh-CN"/>
        </w:rPr>
        <w:t>“</w:t>
      </w:r>
      <w:r>
        <w:rPr>
          <w:rFonts w:hint="eastAsia" w:ascii="仿宋" w:hAnsi="仿宋" w:eastAsia="仿宋" w:cs="仿宋"/>
          <w:sz w:val="32"/>
          <w:szCs w:val="32"/>
          <w:shd w:val="clear" w:color="030000" w:fill="FFFFFF"/>
        </w:rPr>
        <w:t>华润信托-君融全天候1号集合资金信托计划</w:t>
      </w:r>
      <w:r>
        <w:rPr>
          <w:rFonts w:hint="eastAsia" w:ascii="仿宋" w:hAnsi="仿宋" w:eastAsia="仿宋" w:cs="仿宋"/>
          <w:sz w:val="32"/>
          <w:szCs w:val="32"/>
          <w:shd w:val="clear" w:color="030000" w:fill="FFFFFF"/>
          <w:lang w:eastAsia="zh-CN"/>
        </w:rPr>
        <w:t>”</w:t>
      </w:r>
      <w:r>
        <w:rPr>
          <w:rFonts w:hint="eastAsia" w:ascii="仿宋" w:hAnsi="仿宋" w:eastAsia="仿宋" w:cs="仿宋"/>
          <w:sz w:val="32"/>
          <w:szCs w:val="32"/>
          <w:shd w:val="clear" w:color="030000" w:fill="FFFFFF"/>
        </w:rPr>
        <w:t>，</w:t>
      </w:r>
      <w:r>
        <w:rPr>
          <w:rFonts w:hint="eastAsia" w:ascii="仿宋" w:hAnsi="仿宋" w:eastAsia="仿宋" w:cs="仿宋"/>
          <w:sz w:val="32"/>
          <w:szCs w:val="32"/>
          <w:shd w:val="clear" w:color="030000" w:fill="FFFFFF"/>
          <w:lang w:val="en-US" w:eastAsia="zh-CN"/>
        </w:rPr>
        <w:t>产品简介</w:t>
      </w:r>
      <w:r>
        <w:rPr>
          <w:rFonts w:hint="eastAsia" w:ascii="仿宋" w:hAnsi="仿宋" w:eastAsia="仿宋" w:cs="仿宋"/>
          <w:sz w:val="32"/>
          <w:szCs w:val="32"/>
          <w:shd w:val="clear" w:color="030000" w:fill="FFFFFF"/>
        </w:rPr>
        <w:t>如下：</w:t>
      </w:r>
    </w:p>
    <w:tbl>
      <w:tblPr>
        <w:tblStyle w:val="7"/>
        <w:tblW w:w="93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0"/>
        <w:gridCol w:w="2780"/>
        <w:gridCol w:w="2560"/>
        <w:gridCol w:w="2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9357" w:type="dxa"/>
            <w:gridSpan w:val="4"/>
            <w:vAlign w:val="top"/>
          </w:tcPr>
          <w:p>
            <w:pPr>
              <w:jc w:val="center"/>
              <w:rPr>
                <w:rFonts w:hint="eastAsia" w:ascii="仿宋" w:hAnsi="仿宋" w:eastAsia="仿宋" w:cs="仿宋"/>
              </w:rPr>
            </w:pPr>
            <w:r>
              <w:rPr>
                <w:rFonts w:hint="eastAsia" w:ascii="仿宋" w:hAnsi="仿宋" w:eastAsia="仿宋" w:cs="仿宋"/>
                <w:b/>
                <w:bCs/>
              </w:rPr>
              <w:t>华润信托·君融全天候1号集合资金信托计划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trPr>
        <w:tc>
          <w:tcPr>
            <w:tcW w:w="1900" w:type="dxa"/>
            <w:vAlign w:val="top"/>
          </w:tcPr>
          <w:p>
            <w:pPr>
              <w:jc w:val="center"/>
              <w:rPr>
                <w:rFonts w:hint="eastAsia" w:ascii="仿宋" w:hAnsi="仿宋" w:eastAsia="仿宋" w:cs="仿宋"/>
              </w:rPr>
            </w:pPr>
            <w:r>
              <w:rPr>
                <w:rFonts w:hint="eastAsia" w:ascii="仿宋" w:hAnsi="仿宋" w:eastAsia="仿宋" w:cs="仿宋"/>
                <w:b/>
                <w:bCs/>
              </w:rPr>
              <w:t>产品类型</w:t>
            </w:r>
          </w:p>
          <w:p>
            <w:pPr>
              <w:jc w:val="center"/>
              <w:rPr>
                <w:rFonts w:hint="eastAsia" w:ascii="仿宋" w:hAnsi="仿宋" w:eastAsia="仿宋" w:cs="仿宋"/>
              </w:rPr>
            </w:pPr>
            <w:r>
              <w:rPr>
                <w:rFonts w:hint="eastAsia" w:ascii="仿宋" w:hAnsi="仿宋" w:eastAsia="仿宋" w:cs="仿宋"/>
                <w:b/>
                <w:bCs/>
              </w:rPr>
              <w:t>及风险等级</w:t>
            </w:r>
          </w:p>
        </w:tc>
        <w:tc>
          <w:tcPr>
            <w:tcW w:w="2780" w:type="dxa"/>
            <w:vAlign w:val="top"/>
          </w:tcPr>
          <w:p>
            <w:pPr>
              <w:rPr>
                <w:rFonts w:hint="eastAsia" w:ascii="仿宋" w:hAnsi="仿宋" w:eastAsia="仿宋" w:cs="仿宋"/>
              </w:rPr>
            </w:pPr>
            <w:r>
              <w:rPr>
                <w:rFonts w:hint="eastAsia" w:ascii="仿宋" w:hAnsi="仿宋" w:eastAsia="仿宋" w:cs="仿宋"/>
              </w:rPr>
              <w:t>混合类（R4）</w:t>
            </w:r>
          </w:p>
        </w:tc>
        <w:tc>
          <w:tcPr>
            <w:tcW w:w="2560" w:type="dxa"/>
            <w:vAlign w:val="top"/>
          </w:tcPr>
          <w:p>
            <w:pPr>
              <w:rPr>
                <w:rFonts w:hint="eastAsia" w:ascii="仿宋" w:hAnsi="仿宋" w:eastAsia="仿宋" w:cs="仿宋"/>
              </w:rPr>
            </w:pPr>
            <w:r>
              <w:rPr>
                <w:rFonts w:hint="eastAsia" w:ascii="仿宋" w:hAnsi="仿宋" w:eastAsia="仿宋" w:cs="仿宋"/>
                <w:b/>
                <w:bCs/>
              </w:rPr>
              <w:t>受托人</w:t>
            </w:r>
          </w:p>
        </w:tc>
        <w:tc>
          <w:tcPr>
            <w:tcW w:w="2117" w:type="dxa"/>
            <w:vAlign w:val="top"/>
          </w:tcPr>
          <w:p>
            <w:pPr>
              <w:rPr>
                <w:rFonts w:hint="eastAsia" w:ascii="仿宋" w:hAnsi="仿宋" w:eastAsia="仿宋" w:cs="仿宋"/>
              </w:rPr>
            </w:pPr>
            <w:r>
              <w:rPr>
                <w:rFonts w:hint="eastAsia" w:ascii="仿宋" w:hAnsi="仿宋" w:eastAsia="仿宋" w:cs="仿宋"/>
              </w:rPr>
              <w:t>华润深国投信托有限公司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1900" w:type="dxa"/>
            <w:vAlign w:val="top"/>
          </w:tcPr>
          <w:p>
            <w:pPr>
              <w:jc w:val="center"/>
              <w:rPr>
                <w:rFonts w:hint="eastAsia" w:ascii="仿宋" w:hAnsi="仿宋" w:eastAsia="仿宋" w:cs="仿宋"/>
              </w:rPr>
            </w:pPr>
            <w:r>
              <w:rPr>
                <w:rFonts w:hint="eastAsia" w:ascii="仿宋" w:hAnsi="仿宋" w:eastAsia="仿宋" w:cs="仿宋"/>
                <w:b/>
                <w:bCs/>
              </w:rPr>
              <w:t>保管银行</w:t>
            </w:r>
          </w:p>
        </w:tc>
        <w:tc>
          <w:tcPr>
            <w:tcW w:w="2780" w:type="dxa"/>
            <w:vAlign w:val="top"/>
          </w:tcPr>
          <w:p>
            <w:pPr>
              <w:rPr>
                <w:rFonts w:hint="eastAsia" w:ascii="仿宋" w:hAnsi="仿宋" w:eastAsia="仿宋" w:cs="仿宋"/>
              </w:rPr>
            </w:pPr>
            <w:r>
              <w:rPr>
                <w:rFonts w:hint="eastAsia" w:ascii="仿宋" w:hAnsi="仿宋" w:eastAsia="仿宋" w:cs="仿宋"/>
              </w:rPr>
              <w:t>中国光大银行股份有限公司</w:t>
            </w:r>
          </w:p>
        </w:tc>
        <w:tc>
          <w:tcPr>
            <w:tcW w:w="2560" w:type="dxa"/>
            <w:vAlign w:val="top"/>
          </w:tcPr>
          <w:p>
            <w:pPr>
              <w:rPr>
                <w:rFonts w:hint="eastAsia" w:ascii="仿宋" w:hAnsi="仿宋" w:eastAsia="仿宋" w:cs="仿宋"/>
              </w:rPr>
            </w:pPr>
            <w:r>
              <w:rPr>
                <w:rFonts w:hint="eastAsia" w:ascii="仿宋" w:hAnsi="仿宋" w:eastAsia="仿宋" w:cs="仿宋"/>
                <w:b/>
                <w:bCs/>
              </w:rPr>
              <w:t>最低认购金额</w:t>
            </w:r>
          </w:p>
        </w:tc>
        <w:tc>
          <w:tcPr>
            <w:tcW w:w="2117" w:type="dxa"/>
            <w:vAlign w:val="top"/>
          </w:tcPr>
          <w:p>
            <w:pPr>
              <w:rPr>
                <w:rFonts w:hint="eastAsia" w:ascii="仿宋" w:hAnsi="仿宋" w:eastAsia="仿宋" w:cs="仿宋"/>
              </w:rPr>
            </w:pPr>
            <w:r>
              <w:rPr>
                <w:rFonts w:hint="eastAsia" w:ascii="仿宋" w:hAnsi="仿宋" w:eastAsia="仿宋" w:cs="仿宋"/>
              </w:rPr>
              <w:t>首次认购金额不低于人民币40万元（不含认购费）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1900" w:type="dxa"/>
            <w:vAlign w:val="top"/>
          </w:tcPr>
          <w:p>
            <w:pPr>
              <w:jc w:val="center"/>
              <w:rPr>
                <w:rFonts w:hint="eastAsia" w:ascii="仿宋" w:hAnsi="仿宋" w:eastAsia="仿宋" w:cs="仿宋"/>
                <w:b/>
                <w:bCs/>
              </w:rPr>
            </w:pPr>
            <w:r>
              <w:rPr>
                <w:rFonts w:hint="eastAsia" w:ascii="仿宋" w:hAnsi="仿宋" w:eastAsia="仿宋" w:cs="仿宋"/>
                <w:b/>
                <w:bCs/>
              </w:rPr>
              <w:t>产品期限</w:t>
            </w:r>
          </w:p>
        </w:tc>
        <w:tc>
          <w:tcPr>
            <w:tcW w:w="2780" w:type="dxa"/>
            <w:vAlign w:val="top"/>
          </w:tcPr>
          <w:p>
            <w:pPr>
              <w:rPr>
                <w:rFonts w:hint="eastAsia" w:ascii="仿宋" w:hAnsi="仿宋" w:eastAsia="仿宋" w:cs="仿宋"/>
              </w:rPr>
            </w:pPr>
            <w:r>
              <w:rPr>
                <w:rFonts w:hint="eastAsia" w:ascii="仿宋" w:hAnsi="仿宋" w:eastAsia="仿宋" w:cs="仿宋"/>
              </w:rPr>
              <w:t>10年（可提前终止）</w:t>
            </w:r>
          </w:p>
        </w:tc>
        <w:tc>
          <w:tcPr>
            <w:tcW w:w="2560" w:type="dxa"/>
            <w:vAlign w:val="top"/>
          </w:tcPr>
          <w:p>
            <w:pPr>
              <w:rPr>
                <w:rFonts w:hint="eastAsia" w:ascii="仿宋" w:hAnsi="仿宋" w:eastAsia="仿宋" w:cs="仿宋"/>
                <w:b/>
                <w:bCs/>
              </w:rPr>
            </w:pPr>
            <w:r>
              <w:rPr>
                <w:rFonts w:hint="eastAsia" w:ascii="仿宋" w:hAnsi="仿宋" w:eastAsia="仿宋" w:cs="仿宋"/>
                <w:b/>
                <w:bCs/>
              </w:rPr>
              <w:t>产品代码</w:t>
            </w:r>
          </w:p>
        </w:tc>
        <w:tc>
          <w:tcPr>
            <w:tcW w:w="2117" w:type="dxa"/>
            <w:vAlign w:val="top"/>
          </w:tcPr>
          <w:p>
            <w:pPr>
              <w:rPr>
                <w:rFonts w:hint="eastAsia" w:ascii="仿宋" w:hAnsi="仿宋" w:eastAsia="仿宋" w:cs="仿宋"/>
              </w:rPr>
            </w:pPr>
            <w:r>
              <w:rPr>
                <w:rFonts w:hint="eastAsia" w:ascii="仿宋" w:hAnsi="仿宋" w:eastAsia="仿宋" w:cs="仿宋"/>
              </w:rPr>
              <w:t>T1C254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8" w:hRule="atLeast"/>
        </w:trPr>
        <w:tc>
          <w:tcPr>
            <w:tcW w:w="1900" w:type="dxa"/>
            <w:vAlign w:val="top"/>
          </w:tcPr>
          <w:p>
            <w:pPr>
              <w:jc w:val="center"/>
              <w:rPr>
                <w:rFonts w:hint="eastAsia" w:ascii="仿宋" w:hAnsi="仿宋" w:eastAsia="仿宋" w:cs="仿宋"/>
              </w:rPr>
            </w:pPr>
            <w:r>
              <w:rPr>
                <w:rFonts w:hint="eastAsia" w:ascii="仿宋" w:hAnsi="仿宋" w:eastAsia="仿宋" w:cs="仿宋"/>
                <w:b/>
                <w:bCs/>
              </w:rPr>
              <w:t>信托财产</w:t>
            </w:r>
          </w:p>
          <w:p>
            <w:pPr>
              <w:jc w:val="center"/>
              <w:rPr>
                <w:rFonts w:hint="eastAsia" w:ascii="仿宋" w:hAnsi="仿宋" w:eastAsia="仿宋" w:cs="仿宋"/>
              </w:rPr>
            </w:pPr>
            <w:r>
              <w:rPr>
                <w:rFonts w:hint="eastAsia" w:ascii="仿宋" w:hAnsi="仿宋" w:eastAsia="仿宋" w:cs="仿宋"/>
                <w:b/>
                <w:bCs/>
              </w:rPr>
              <w:t>管理运用方向</w:t>
            </w:r>
          </w:p>
        </w:tc>
        <w:tc>
          <w:tcPr>
            <w:tcW w:w="7457" w:type="dxa"/>
            <w:gridSpan w:val="3"/>
            <w:vAlign w:val="top"/>
          </w:tcPr>
          <w:p>
            <w:pPr>
              <w:rPr>
                <w:rFonts w:hint="eastAsia" w:ascii="仿宋" w:hAnsi="仿宋" w:eastAsia="仿宋" w:cs="仿宋"/>
              </w:rPr>
            </w:pPr>
            <w:r>
              <w:rPr>
                <w:rFonts w:hint="eastAsia" w:ascii="仿宋" w:hAnsi="仿宋" w:eastAsia="仿宋" w:cs="仿宋"/>
              </w:rPr>
              <w:t>（1）投资于由上海国泰君安证券资产管理有限公司作为管理人的“国泰君安君享大类资产全天候2号集合资产管理计划”（简称“标的资管计划”或“标的产品”）。</w:t>
            </w:r>
          </w:p>
          <w:p>
            <w:pPr>
              <w:rPr>
                <w:rFonts w:hint="eastAsia" w:ascii="仿宋" w:hAnsi="仿宋" w:eastAsia="仿宋" w:cs="仿宋"/>
              </w:rPr>
            </w:pPr>
            <w:r>
              <w:rPr>
                <w:rFonts w:hint="eastAsia" w:ascii="仿宋" w:hAnsi="仿宋" w:eastAsia="仿宋" w:cs="仿宋"/>
              </w:rPr>
              <w:t>（2）信托业保障基金。</w:t>
            </w:r>
          </w:p>
          <w:p>
            <w:pPr>
              <w:rPr>
                <w:rFonts w:hint="eastAsia" w:ascii="仿宋" w:hAnsi="仿宋" w:eastAsia="仿宋" w:cs="仿宋"/>
              </w:rPr>
            </w:pPr>
            <w:r>
              <w:rPr>
                <w:rFonts w:hint="eastAsia" w:ascii="仿宋" w:hAnsi="仿宋" w:eastAsia="仿宋" w:cs="仿宋"/>
              </w:rPr>
              <w:t>（3）闲置资金可投资于银行存款（包括银行活期存款、银行定期存款和银行协议存款等各类存款）。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1900" w:type="dxa"/>
            <w:vAlign w:val="top"/>
          </w:tcPr>
          <w:p>
            <w:pPr>
              <w:jc w:val="center"/>
              <w:rPr>
                <w:rFonts w:hint="eastAsia" w:ascii="仿宋" w:hAnsi="仿宋" w:eastAsia="仿宋" w:cs="仿宋"/>
              </w:rPr>
            </w:pPr>
            <w:r>
              <w:rPr>
                <w:rFonts w:hint="eastAsia" w:ascii="仿宋" w:hAnsi="仿宋" w:eastAsia="仿宋" w:cs="仿宋"/>
                <w:b/>
                <w:bCs/>
              </w:rPr>
              <w:t>开放日</w:t>
            </w:r>
          </w:p>
        </w:tc>
        <w:tc>
          <w:tcPr>
            <w:tcW w:w="7457" w:type="dxa"/>
            <w:gridSpan w:val="3"/>
            <w:vAlign w:val="top"/>
          </w:tcPr>
          <w:p>
            <w:pPr>
              <w:rPr>
                <w:rFonts w:hint="eastAsia" w:ascii="仿宋" w:hAnsi="仿宋" w:eastAsia="仿宋" w:cs="仿宋"/>
              </w:rPr>
            </w:pPr>
            <w:r>
              <w:rPr>
                <w:rFonts w:hint="eastAsia" w:ascii="仿宋" w:hAnsi="仿宋" w:eastAsia="仿宋" w:cs="仿宋"/>
              </w:rPr>
              <w:t>自本信托计划成立日所在月的次月起每月的19日（如遇非交易日则为该日之后最近一个交易日）及受托人决定的临时开放日。受托人有权调整和取消信托计划的开放日。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1900" w:type="dxa"/>
            <w:vAlign w:val="top"/>
          </w:tcPr>
          <w:p>
            <w:pPr>
              <w:jc w:val="center"/>
              <w:rPr>
                <w:rFonts w:hint="eastAsia" w:ascii="仿宋" w:hAnsi="仿宋" w:eastAsia="仿宋" w:cs="仿宋"/>
              </w:rPr>
            </w:pPr>
            <w:r>
              <w:rPr>
                <w:rFonts w:hint="eastAsia" w:ascii="仿宋" w:hAnsi="仿宋" w:eastAsia="仿宋" w:cs="仿宋"/>
                <w:b/>
                <w:bCs/>
              </w:rPr>
              <w:t>封闭期</w:t>
            </w:r>
          </w:p>
        </w:tc>
        <w:tc>
          <w:tcPr>
            <w:tcW w:w="7457" w:type="dxa"/>
            <w:gridSpan w:val="3"/>
            <w:vAlign w:val="top"/>
          </w:tcPr>
          <w:p>
            <w:pPr>
              <w:rPr>
                <w:rFonts w:hint="eastAsia" w:ascii="仿宋" w:hAnsi="仿宋" w:eastAsia="仿宋" w:cs="仿宋"/>
              </w:rPr>
            </w:pPr>
            <w:r>
              <w:rPr>
                <w:rFonts w:hint="eastAsia" w:ascii="仿宋" w:hAnsi="仿宋" w:eastAsia="仿宋" w:cs="仿宋"/>
              </w:rPr>
              <w:t>推介期内认购的信托单位自信托计划成立之日起至其之后的第9个开放日（不含第9个开放日，不含临时开放日）为该部分信托单位的封闭期。</w:t>
            </w:r>
          </w:p>
          <w:p>
            <w:pPr>
              <w:rPr>
                <w:rFonts w:hint="eastAsia" w:ascii="仿宋" w:hAnsi="仿宋" w:eastAsia="仿宋" w:cs="仿宋"/>
              </w:rPr>
            </w:pPr>
            <w:r>
              <w:rPr>
                <w:rFonts w:hint="eastAsia" w:ascii="仿宋" w:hAnsi="仿宋" w:eastAsia="仿宋" w:cs="仿宋"/>
              </w:rPr>
              <w:t>信托计划存续期间认购的信托单位在成功认购该信托单位之开放日起至其之后的第9个开放日（不含第9个开放日，不含临时开放日）为该部分信托单位的封闭期。</w:t>
            </w:r>
          </w:p>
          <w:p>
            <w:pPr>
              <w:rPr>
                <w:rFonts w:hint="eastAsia" w:ascii="仿宋" w:hAnsi="仿宋" w:eastAsia="仿宋" w:cs="仿宋"/>
              </w:rPr>
            </w:pPr>
            <w:r>
              <w:rPr>
                <w:rFonts w:hint="eastAsia" w:ascii="仿宋" w:hAnsi="仿宋" w:eastAsia="仿宋" w:cs="仿宋"/>
                <w:b/>
                <w:bCs/>
              </w:rPr>
              <w:t>封闭期内可认购，但不得赎回处于封闭期的信托单位</w:t>
            </w:r>
            <w:r>
              <w:rPr>
                <w:rFonts w:hint="eastAsia" w:ascii="仿宋" w:hAnsi="仿宋" w:eastAsia="仿宋" w:cs="仿宋"/>
              </w:rPr>
              <w:t>。受托人有权调整信托计划的封闭期。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9" w:hRule="atLeast"/>
        </w:trPr>
        <w:tc>
          <w:tcPr>
            <w:tcW w:w="1900" w:type="dxa"/>
            <w:vAlign w:val="top"/>
          </w:tcPr>
          <w:p>
            <w:pPr>
              <w:jc w:val="center"/>
              <w:rPr>
                <w:rFonts w:hint="eastAsia" w:ascii="仿宋" w:hAnsi="仿宋" w:eastAsia="仿宋" w:cs="仿宋"/>
              </w:rPr>
            </w:pPr>
            <w:r>
              <w:rPr>
                <w:rFonts w:hint="eastAsia" w:ascii="仿宋" w:hAnsi="仿宋" w:eastAsia="仿宋" w:cs="仿宋"/>
                <w:b/>
                <w:bCs/>
              </w:rPr>
              <w:t>认购/赎回申请期</w:t>
            </w:r>
          </w:p>
        </w:tc>
        <w:tc>
          <w:tcPr>
            <w:tcW w:w="7457" w:type="dxa"/>
            <w:gridSpan w:val="3"/>
            <w:vAlign w:val="top"/>
          </w:tcPr>
          <w:p>
            <w:pPr>
              <w:rPr>
                <w:rFonts w:hint="eastAsia" w:ascii="仿宋" w:hAnsi="仿宋" w:eastAsia="仿宋" w:cs="仿宋"/>
              </w:rPr>
            </w:pPr>
            <w:r>
              <w:rPr>
                <w:rFonts w:hint="eastAsia" w:ascii="仿宋" w:hAnsi="仿宋" w:eastAsia="仿宋" w:cs="仿宋"/>
              </w:rPr>
              <w:t>开放日（T日）前的T-4交易日至T-2交易日，（举例：假如2024年12月19日为赎回开放日，则2024年12月17日为赎回申请截止日，赎回申请截止日当天可以提交赎回申请）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trPr>
        <w:tc>
          <w:tcPr>
            <w:tcW w:w="1900" w:type="dxa"/>
            <w:vAlign w:val="top"/>
          </w:tcPr>
          <w:p>
            <w:pPr>
              <w:jc w:val="center"/>
              <w:rPr>
                <w:rFonts w:hint="eastAsia" w:ascii="仿宋" w:hAnsi="仿宋" w:eastAsia="仿宋" w:cs="仿宋"/>
              </w:rPr>
            </w:pPr>
            <w:r>
              <w:rPr>
                <w:rFonts w:hint="eastAsia" w:ascii="仿宋" w:hAnsi="仿宋" w:eastAsia="仿宋" w:cs="仿宋"/>
                <w:b/>
                <w:bCs/>
              </w:rPr>
              <w:t>固定费用</w:t>
            </w:r>
          </w:p>
        </w:tc>
        <w:tc>
          <w:tcPr>
            <w:tcW w:w="7457" w:type="dxa"/>
            <w:gridSpan w:val="3"/>
            <w:vAlign w:val="top"/>
          </w:tcPr>
          <w:p>
            <w:pPr>
              <w:rPr>
                <w:rFonts w:hint="eastAsia" w:ascii="仿宋" w:hAnsi="仿宋" w:eastAsia="仿宋" w:cs="仿宋"/>
              </w:rPr>
            </w:pPr>
            <w:r>
              <w:rPr>
                <w:rFonts w:hint="eastAsia" w:ascii="仿宋" w:hAnsi="仿宋" w:eastAsia="仿宋" w:cs="仿宋"/>
              </w:rPr>
              <w:t>保管费：0.01%/年；</w:t>
            </w:r>
          </w:p>
          <w:p>
            <w:pPr>
              <w:rPr>
                <w:rFonts w:hint="eastAsia" w:ascii="仿宋" w:hAnsi="仿宋" w:eastAsia="仿宋" w:cs="仿宋"/>
              </w:rPr>
            </w:pPr>
            <w:r>
              <w:rPr>
                <w:rFonts w:hint="eastAsia" w:ascii="仿宋" w:hAnsi="仿宋" w:eastAsia="仿宋" w:cs="仿宋"/>
              </w:rPr>
              <w:t>固定信托管理费1：0.2%/年</w:t>
            </w:r>
          </w:p>
          <w:p>
            <w:pPr>
              <w:rPr>
                <w:rFonts w:hint="eastAsia" w:ascii="仿宋" w:hAnsi="仿宋" w:eastAsia="仿宋" w:cs="仿宋"/>
              </w:rPr>
            </w:pPr>
            <w:r>
              <w:rPr>
                <w:rFonts w:hint="eastAsia" w:ascii="仿宋" w:hAnsi="仿宋" w:eastAsia="仿宋" w:cs="仿宋"/>
              </w:rPr>
              <w:t>固定信托管理费2：0.2%/年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900" w:type="dxa"/>
            <w:vAlign w:val="top"/>
          </w:tcPr>
          <w:p>
            <w:pPr>
              <w:jc w:val="center"/>
              <w:rPr>
                <w:rFonts w:hint="eastAsia" w:ascii="仿宋" w:hAnsi="仿宋" w:eastAsia="仿宋" w:cs="仿宋"/>
              </w:rPr>
            </w:pPr>
            <w:r>
              <w:rPr>
                <w:rFonts w:hint="eastAsia" w:ascii="仿宋" w:hAnsi="仿宋" w:eastAsia="仿宋" w:cs="仿宋"/>
                <w:b/>
                <w:bCs/>
              </w:rPr>
              <w:t>预警/止损</w:t>
            </w:r>
          </w:p>
        </w:tc>
        <w:tc>
          <w:tcPr>
            <w:tcW w:w="7457" w:type="dxa"/>
            <w:gridSpan w:val="3"/>
            <w:vAlign w:val="top"/>
          </w:tcPr>
          <w:p>
            <w:pPr>
              <w:rPr>
                <w:rFonts w:hint="eastAsia" w:ascii="仿宋" w:hAnsi="仿宋" w:eastAsia="仿宋" w:cs="仿宋"/>
              </w:rPr>
            </w:pPr>
            <w:r>
              <w:rPr>
                <w:rFonts w:hint="eastAsia" w:ascii="仿宋" w:hAnsi="仿宋" w:eastAsia="仿宋" w:cs="仿宋"/>
              </w:rPr>
              <w:t>信托计划本身</w:t>
            </w:r>
            <w:r>
              <w:rPr>
                <w:rFonts w:hint="eastAsia" w:ascii="仿宋" w:hAnsi="仿宋" w:eastAsia="仿宋" w:cs="仿宋"/>
                <w:b/>
                <w:bCs/>
              </w:rPr>
              <w:t>无</w:t>
            </w:r>
            <w:r>
              <w:rPr>
                <w:rFonts w:hint="eastAsia" w:ascii="仿宋" w:hAnsi="仿宋" w:eastAsia="仿宋" w:cs="仿宋"/>
              </w:rPr>
              <w:t>预警止损设置。</w:t>
            </w:r>
          </w:p>
        </w:tc>
      </w:tr>
    </w:tbl>
    <w:p>
      <w:pPr>
        <w:pStyle w:val="3"/>
        <w:widowControl/>
        <w:spacing w:before="150" w:beforeAutospacing="0" w:after="76" w:afterAutospacing="0" w:line="555" w:lineRule="atLeast"/>
        <w:ind w:right="0"/>
        <w:jc w:val="left"/>
        <w:rPr>
          <w:rFonts w:hint="eastAsia" w:ascii="仿宋" w:hAnsi="仿宋" w:eastAsia="仿宋" w:cs="仿宋"/>
          <w:sz w:val="32"/>
          <w:szCs w:val="32"/>
          <w:shd w:val="clear" w:color="030000" w:fill="FFFFFF"/>
          <w:lang w:val="en-US" w:eastAsia="zh-CN"/>
        </w:rPr>
      </w:pPr>
    </w:p>
    <w:p>
      <w:pPr>
        <w:pStyle w:val="3"/>
        <w:widowControl/>
        <w:spacing w:before="150" w:beforeAutospacing="0" w:after="76" w:afterAutospacing="0" w:line="555" w:lineRule="atLeast"/>
        <w:ind w:right="0"/>
        <w:jc w:val="left"/>
        <w:rPr>
          <w:rFonts w:hint="eastAsia" w:ascii="仿宋" w:hAnsi="仿宋" w:eastAsia="仿宋" w:cs="仿宋"/>
          <w:sz w:val="32"/>
          <w:szCs w:val="32"/>
          <w:shd w:val="clear" w:color="030000" w:fill="FFFFFF"/>
          <w:lang w:val="en-US" w:eastAsia="zh-CN"/>
        </w:rPr>
      </w:pPr>
      <w:r>
        <w:rPr>
          <w:rFonts w:hint="eastAsia" w:ascii="仿宋" w:hAnsi="仿宋" w:eastAsia="仿宋" w:cs="仿宋"/>
          <w:sz w:val="32"/>
          <w:szCs w:val="32"/>
          <w:shd w:val="clear" w:color="030000" w:fill="FFFFFF"/>
          <w:lang w:val="en-US" w:eastAsia="zh-CN"/>
        </w:rPr>
        <w:t xml:space="preserve">    信托计划详情及相关风险详询富滇银行各营业网点。</w:t>
      </w:r>
    </w:p>
    <w:p>
      <w:pPr>
        <w:pStyle w:val="3"/>
        <w:widowControl/>
        <w:spacing w:before="150" w:beforeAutospacing="0" w:after="76" w:afterAutospacing="0" w:line="555" w:lineRule="atLeast"/>
        <w:ind w:left="0" w:right="0" w:firstLine="660"/>
        <w:jc w:val="left"/>
        <w:rPr>
          <w:rFonts w:hint="eastAsia" w:ascii="仿宋" w:hAnsi="仿宋" w:eastAsia="仿宋" w:cs="仿宋"/>
          <w:sz w:val="32"/>
          <w:szCs w:val="32"/>
        </w:rPr>
      </w:pPr>
      <w:r>
        <w:rPr>
          <w:rFonts w:hint="eastAsia" w:ascii="仿宋" w:hAnsi="仿宋" w:eastAsia="仿宋" w:cs="仿宋"/>
          <w:sz w:val="32"/>
          <w:szCs w:val="32"/>
          <w:shd w:val="clear" w:color="030000" w:fill="FFFFFF"/>
          <w:lang w:val="en-US" w:eastAsia="zh-CN"/>
        </w:rPr>
        <w:t>本产品由</w:t>
      </w:r>
      <w:r>
        <w:rPr>
          <w:rFonts w:hint="eastAsia" w:ascii="仿宋" w:hAnsi="仿宋" w:eastAsia="仿宋" w:cs="仿宋"/>
          <w:sz w:val="32"/>
          <w:szCs w:val="32"/>
          <w:shd w:val="clear" w:color="030000" w:fill="FFFFFF"/>
        </w:rPr>
        <w:t>华润深国投信托有限公司</w:t>
      </w:r>
      <w:r>
        <w:rPr>
          <w:rFonts w:hint="eastAsia" w:ascii="仿宋" w:hAnsi="仿宋" w:eastAsia="仿宋" w:cs="仿宋"/>
          <w:sz w:val="32"/>
          <w:szCs w:val="32"/>
          <w:lang w:val="en-US" w:eastAsia="zh-CN"/>
        </w:rPr>
        <w:t>发行与管理，富滇银行不承担产品投资、兑付和风险管理责任。</w:t>
      </w:r>
    </w:p>
    <w:p>
      <w:pPr>
        <w:pStyle w:val="3"/>
        <w:widowControl/>
        <w:spacing w:before="150" w:beforeAutospacing="0" w:after="76" w:afterAutospacing="0" w:line="555" w:lineRule="atLeast"/>
        <w:ind w:left="0" w:right="0" w:firstLine="660"/>
        <w:jc w:val="right"/>
        <w:rPr>
          <w:rFonts w:hint="eastAsia" w:ascii="仿宋" w:hAnsi="仿宋" w:eastAsia="仿宋" w:cs="仿宋"/>
          <w:sz w:val="32"/>
          <w:szCs w:val="32"/>
          <w:shd w:val="clear" w:color="030000" w:fill="FFFFFF"/>
          <w:lang w:val="en-US" w:eastAsia="zh-CN"/>
        </w:rPr>
      </w:pPr>
    </w:p>
    <w:p>
      <w:pPr>
        <w:pStyle w:val="3"/>
        <w:widowControl/>
        <w:spacing w:before="150" w:beforeAutospacing="0" w:after="76" w:afterAutospacing="0" w:line="555" w:lineRule="atLeast"/>
        <w:ind w:left="0" w:right="0" w:firstLine="660"/>
        <w:jc w:val="right"/>
        <w:rPr>
          <w:rFonts w:hint="eastAsia" w:ascii="仿宋" w:hAnsi="仿宋" w:eastAsia="仿宋" w:cs="仿宋"/>
          <w:sz w:val="32"/>
          <w:szCs w:val="32"/>
          <w:shd w:val="clear" w:color="030000" w:fill="FFFFFF"/>
          <w:lang w:val="en-US" w:eastAsia="zh-CN"/>
        </w:rPr>
      </w:pPr>
      <w:r>
        <w:rPr>
          <w:rFonts w:hint="eastAsia" w:ascii="仿宋" w:hAnsi="仿宋" w:eastAsia="仿宋" w:cs="仿宋"/>
          <w:sz w:val="32"/>
          <w:szCs w:val="32"/>
          <w:shd w:val="clear" w:color="030000" w:fill="FFFFFF"/>
          <w:lang w:val="en-US" w:eastAsia="zh-CN"/>
        </w:rPr>
        <w:t>富滇银行股份有限公司</w:t>
      </w:r>
    </w:p>
    <w:p>
      <w:pPr>
        <w:pStyle w:val="3"/>
        <w:widowControl/>
        <w:spacing w:before="150" w:beforeAutospacing="0" w:after="76" w:afterAutospacing="0" w:line="555" w:lineRule="atLeast"/>
        <w:ind w:left="0" w:right="0" w:firstLine="660"/>
        <w:jc w:val="right"/>
        <w:rPr>
          <w:rFonts w:hint="eastAsia" w:ascii="仿宋" w:hAnsi="仿宋" w:eastAsia="仿宋" w:cs="仿宋"/>
          <w:sz w:val="32"/>
          <w:szCs w:val="32"/>
        </w:rPr>
      </w:pPr>
      <w:r>
        <w:rPr>
          <w:rFonts w:hint="eastAsia" w:ascii="仿宋" w:hAnsi="仿宋" w:eastAsia="仿宋" w:cs="仿宋"/>
          <w:sz w:val="32"/>
          <w:szCs w:val="32"/>
          <w:shd w:val="clear" w:color="030000" w:fill="FFFFFF"/>
        </w:rPr>
        <w:t>202</w:t>
      </w:r>
      <w:r>
        <w:rPr>
          <w:rFonts w:hint="eastAsia" w:ascii="仿宋" w:hAnsi="仿宋" w:eastAsia="仿宋" w:cs="仿宋"/>
          <w:sz w:val="32"/>
          <w:szCs w:val="32"/>
          <w:shd w:val="clear" w:color="030000" w:fill="FFFFFF"/>
          <w:lang w:val="en-US" w:eastAsia="zh-CN"/>
        </w:rPr>
        <w:t>4</w:t>
      </w:r>
      <w:r>
        <w:rPr>
          <w:rFonts w:hint="eastAsia" w:ascii="仿宋" w:hAnsi="仿宋" w:eastAsia="仿宋" w:cs="仿宋"/>
          <w:sz w:val="32"/>
          <w:szCs w:val="32"/>
          <w:shd w:val="clear" w:color="030000" w:fill="FFFFFF"/>
        </w:rPr>
        <w:t>年</w:t>
      </w:r>
      <w:r>
        <w:rPr>
          <w:rFonts w:hint="eastAsia" w:ascii="仿宋" w:hAnsi="仿宋" w:eastAsia="仿宋" w:cs="仿宋"/>
          <w:sz w:val="32"/>
          <w:szCs w:val="32"/>
          <w:shd w:val="clear" w:color="030000" w:fill="FFFFFF"/>
          <w:lang w:val="en-US" w:eastAsia="zh-CN"/>
        </w:rPr>
        <w:t>2</w:t>
      </w:r>
      <w:r>
        <w:rPr>
          <w:rFonts w:hint="eastAsia" w:ascii="仿宋" w:hAnsi="仿宋" w:eastAsia="仿宋" w:cs="仿宋"/>
          <w:sz w:val="32"/>
          <w:szCs w:val="32"/>
          <w:shd w:val="clear" w:color="030000" w:fill="FFFFFF"/>
        </w:rPr>
        <w:t>月</w:t>
      </w:r>
      <w:r>
        <w:rPr>
          <w:rFonts w:hint="eastAsia" w:ascii="仿宋" w:hAnsi="仿宋" w:eastAsia="仿宋" w:cs="仿宋"/>
          <w:sz w:val="32"/>
          <w:szCs w:val="32"/>
          <w:shd w:val="clear" w:color="030000" w:fill="FFFFFF"/>
          <w:lang w:val="en-US" w:eastAsia="zh-CN"/>
        </w:rPr>
        <w:t>24</w:t>
      </w:r>
      <w:bookmarkStart w:id="0" w:name="_GoBack"/>
      <w:bookmarkEnd w:id="0"/>
      <w:r>
        <w:rPr>
          <w:rFonts w:hint="eastAsia" w:ascii="仿宋" w:hAnsi="仿宋" w:eastAsia="仿宋" w:cs="仿宋"/>
          <w:sz w:val="32"/>
          <w:szCs w:val="32"/>
          <w:shd w:val="clear" w:color="030000" w:fill="FFFFFF"/>
        </w:rPr>
        <w:t>日</w:t>
      </w:r>
    </w:p>
    <w:p>
      <w:pPr>
        <w:rPr>
          <w:rFonts w:hint="eastAsia" w:ascii="宋体" w:hAnsi="宋体" w:eastAsia="宋体" w:cs="宋体"/>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00000"/>
    <w:rsid w:val="00D2121E"/>
    <w:rsid w:val="00DE3DFA"/>
    <w:rsid w:val="01373D4C"/>
    <w:rsid w:val="020C4A3E"/>
    <w:rsid w:val="02A86BF8"/>
    <w:rsid w:val="03420F5A"/>
    <w:rsid w:val="065B1B3D"/>
    <w:rsid w:val="07774C58"/>
    <w:rsid w:val="090B6391"/>
    <w:rsid w:val="095E5500"/>
    <w:rsid w:val="09FC6DD0"/>
    <w:rsid w:val="0A5E508E"/>
    <w:rsid w:val="0A7416A1"/>
    <w:rsid w:val="0A871AD6"/>
    <w:rsid w:val="0AC8253F"/>
    <w:rsid w:val="0BEA0098"/>
    <w:rsid w:val="0BF150A5"/>
    <w:rsid w:val="0C721B2E"/>
    <w:rsid w:val="0DCA79F1"/>
    <w:rsid w:val="0FA0293D"/>
    <w:rsid w:val="0FCC0FF8"/>
    <w:rsid w:val="10AB2BE5"/>
    <w:rsid w:val="12B85398"/>
    <w:rsid w:val="12B86EE8"/>
    <w:rsid w:val="12D4417D"/>
    <w:rsid w:val="12E17E2E"/>
    <w:rsid w:val="15443677"/>
    <w:rsid w:val="158255E8"/>
    <w:rsid w:val="163F1EFE"/>
    <w:rsid w:val="168168C1"/>
    <w:rsid w:val="16B43E0F"/>
    <w:rsid w:val="16BA4D90"/>
    <w:rsid w:val="16E44AB4"/>
    <w:rsid w:val="16FA16C0"/>
    <w:rsid w:val="183271AA"/>
    <w:rsid w:val="184B6D3F"/>
    <w:rsid w:val="19401370"/>
    <w:rsid w:val="194E1AA7"/>
    <w:rsid w:val="195C0FB1"/>
    <w:rsid w:val="1A200389"/>
    <w:rsid w:val="1A2F1202"/>
    <w:rsid w:val="1A42248D"/>
    <w:rsid w:val="1A4B6B87"/>
    <w:rsid w:val="1A5204BD"/>
    <w:rsid w:val="1AE25AC4"/>
    <w:rsid w:val="1B196F8A"/>
    <w:rsid w:val="1B5B2EEE"/>
    <w:rsid w:val="1CAF531B"/>
    <w:rsid w:val="1D995F3E"/>
    <w:rsid w:val="20B57099"/>
    <w:rsid w:val="21167369"/>
    <w:rsid w:val="219E0135"/>
    <w:rsid w:val="22325A02"/>
    <w:rsid w:val="23E34242"/>
    <w:rsid w:val="253D7326"/>
    <w:rsid w:val="25731D7F"/>
    <w:rsid w:val="25CC798C"/>
    <w:rsid w:val="2633302A"/>
    <w:rsid w:val="2750388E"/>
    <w:rsid w:val="28894890"/>
    <w:rsid w:val="28962A0F"/>
    <w:rsid w:val="295C266A"/>
    <w:rsid w:val="29BC4E57"/>
    <w:rsid w:val="2A4662E5"/>
    <w:rsid w:val="2B097438"/>
    <w:rsid w:val="2B76220E"/>
    <w:rsid w:val="2C170757"/>
    <w:rsid w:val="2E1C5B78"/>
    <w:rsid w:val="2E232A64"/>
    <w:rsid w:val="2EE826CF"/>
    <w:rsid w:val="2F594BBE"/>
    <w:rsid w:val="2F64514D"/>
    <w:rsid w:val="30247B0A"/>
    <w:rsid w:val="317F4543"/>
    <w:rsid w:val="32545188"/>
    <w:rsid w:val="328174AA"/>
    <w:rsid w:val="333D1A82"/>
    <w:rsid w:val="336736C1"/>
    <w:rsid w:val="34AD46FA"/>
    <w:rsid w:val="34EF5164"/>
    <w:rsid w:val="367811BE"/>
    <w:rsid w:val="36DA046A"/>
    <w:rsid w:val="37677F1B"/>
    <w:rsid w:val="3798788E"/>
    <w:rsid w:val="38D06409"/>
    <w:rsid w:val="39DF54D4"/>
    <w:rsid w:val="3B6362F8"/>
    <w:rsid w:val="3BA3267B"/>
    <w:rsid w:val="3C2C775F"/>
    <w:rsid w:val="3C972F77"/>
    <w:rsid w:val="3CB44AA5"/>
    <w:rsid w:val="3D083CA8"/>
    <w:rsid w:val="3DF45431"/>
    <w:rsid w:val="3E113DBD"/>
    <w:rsid w:val="3F043070"/>
    <w:rsid w:val="3F66564E"/>
    <w:rsid w:val="3FF74C02"/>
    <w:rsid w:val="406F50E1"/>
    <w:rsid w:val="40983EE7"/>
    <w:rsid w:val="40C06849"/>
    <w:rsid w:val="41353855"/>
    <w:rsid w:val="424247BC"/>
    <w:rsid w:val="42D9273C"/>
    <w:rsid w:val="44A567F4"/>
    <w:rsid w:val="451F3A07"/>
    <w:rsid w:val="4675403F"/>
    <w:rsid w:val="46AF5ACA"/>
    <w:rsid w:val="46C11D22"/>
    <w:rsid w:val="46D22159"/>
    <w:rsid w:val="46E50C5D"/>
    <w:rsid w:val="47576DC0"/>
    <w:rsid w:val="4890165D"/>
    <w:rsid w:val="48AD2A8C"/>
    <w:rsid w:val="4B9F639D"/>
    <w:rsid w:val="4BFA5E2A"/>
    <w:rsid w:val="4C083E12"/>
    <w:rsid w:val="4C43492C"/>
    <w:rsid w:val="4D0C2439"/>
    <w:rsid w:val="4D1C4AC2"/>
    <w:rsid w:val="4DB27468"/>
    <w:rsid w:val="4E296290"/>
    <w:rsid w:val="4E706CD7"/>
    <w:rsid w:val="5070781B"/>
    <w:rsid w:val="514C30F0"/>
    <w:rsid w:val="51A61200"/>
    <w:rsid w:val="52006BBA"/>
    <w:rsid w:val="522E6483"/>
    <w:rsid w:val="52CB6DE5"/>
    <w:rsid w:val="53157D34"/>
    <w:rsid w:val="531E63DE"/>
    <w:rsid w:val="535C5AC0"/>
    <w:rsid w:val="541762A7"/>
    <w:rsid w:val="551D0C46"/>
    <w:rsid w:val="56073564"/>
    <w:rsid w:val="567724F9"/>
    <w:rsid w:val="56E2062F"/>
    <w:rsid w:val="57044ED0"/>
    <w:rsid w:val="57BE1196"/>
    <w:rsid w:val="58156012"/>
    <w:rsid w:val="586370A9"/>
    <w:rsid w:val="58D0689F"/>
    <w:rsid w:val="5A6E47C6"/>
    <w:rsid w:val="5AB715FE"/>
    <w:rsid w:val="5BF32AEA"/>
    <w:rsid w:val="5BFA7CDF"/>
    <w:rsid w:val="5D4027F1"/>
    <w:rsid w:val="5E886755"/>
    <w:rsid w:val="5F6E43A8"/>
    <w:rsid w:val="5FB261B7"/>
    <w:rsid w:val="60C014F6"/>
    <w:rsid w:val="61B968F5"/>
    <w:rsid w:val="62066A93"/>
    <w:rsid w:val="62161BAC"/>
    <w:rsid w:val="62DA005E"/>
    <w:rsid w:val="63D74C00"/>
    <w:rsid w:val="640A5C97"/>
    <w:rsid w:val="64393C7E"/>
    <w:rsid w:val="645D7336"/>
    <w:rsid w:val="64C54DBF"/>
    <w:rsid w:val="64CB796A"/>
    <w:rsid w:val="66375CC2"/>
    <w:rsid w:val="68851CA9"/>
    <w:rsid w:val="68F010FE"/>
    <w:rsid w:val="69D74EB4"/>
    <w:rsid w:val="6A492A73"/>
    <w:rsid w:val="6B7D6262"/>
    <w:rsid w:val="6B861377"/>
    <w:rsid w:val="6BB43A79"/>
    <w:rsid w:val="6D913ADB"/>
    <w:rsid w:val="6E085B93"/>
    <w:rsid w:val="6F3C490B"/>
    <w:rsid w:val="6FF96C8B"/>
    <w:rsid w:val="700F6FBC"/>
    <w:rsid w:val="71DD4E6D"/>
    <w:rsid w:val="71E46968"/>
    <w:rsid w:val="722A1ADB"/>
    <w:rsid w:val="723A1635"/>
    <w:rsid w:val="7261385D"/>
    <w:rsid w:val="72663EBE"/>
    <w:rsid w:val="73651863"/>
    <w:rsid w:val="740A0CEC"/>
    <w:rsid w:val="759810C1"/>
    <w:rsid w:val="761C5254"/>
    <w:rsid w:val="76722A48"/>
    <w:rsid w:val="78640877"/>
    <w:rsid w:val="7955121E"/>
    <w:rsid w:val="798F168E"/>
    <w:rsid w:val="79E8078D"/>
    <w:rsid w:val="79F06E67"/>
    <w:rsid w:val="7B2F04C0"/>
    <w:rsid w:val="7B3958A3"/>
    <w:rsid w:val="7B7F6376"/>
    <w:rsid w:val="7B9F58E0"/>
    <w:rsid w:val="7BE505D2"/>
    <w:rsid w:val="7D163C61"/>
    <w:rsid w:val="7D237C5A"/>
    <w:rsid w:val="7E4029B0"/>
    <w:rsid w:val="7F717011"/>
    <w:rsid w:val="7FAB0311"/>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Style w:val="6"/>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kern w:val="0"/>
      <w:sz w:val="18"/>
      <w:szCs w:val="18"/>
    </w:rPr>
  </w:style>
  <w:style w:type="paragraph" w:styleId="3">
    <w:name w:val="Normal (Web)"/>
    <w:basedOn w:val="1"/>
    <w:uiPriority w:val="0"/>
    <w:pPr>
      <w:spacing w:before="0" w:beforeAutospacing="0" w:after="0" w:afterAutospacing="0"/>
      <w:ind w:left="0" w:right="0"/>
      <w:jc w:val="left"/>
    </w:pPr>
    <w:rPr>
      <w:kern w:val="0"/>
      <w:sz w:val="24"/>
      <w:lang w:val="en-US" w:eastAsia="zh-CN"/>
    </w:rPr>
  </w:style>
  <w:style w:type="character" w:styleId="5">
    <w:name w:val="Strong"/>
    <w:basedOn w:val="4"/>
    <w:qFormat/>
    <w:uiPriority w:val="0"/>
    <w:rPr>
      <w:b/>
    </w:rPr>
  </w:style>
  <w:style w:type="table" w:styleId="7">
    <w:name w:val="Table Grid"/>
    <w:basedOn w:val="6"/>
    <w:uiPriority w:val="0"/>
    <w:pPr/>
    <w:tblPr>
      <w:tblStyle w:val="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2021-09-28T07:14:00Z</dcterms:created>
  <dc:creator>tony</dc:creator>
  <cp:lastModifiedBy>戴秋娟</cp:lastModifiedBy>
  <dcterms:modified xsi:type="dcterms:W3CDTF">2024-04-07T10:47:17Z</dcterms:modified>
  <dc:title>关于光大信托-宝汇集合资金信托计划鼎益2105期培训及发行通知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