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adjustRightInd/>
        <w:snapToGrid/>
        <w:spacing w:before="0" w:beforeAutospacing="0" w:after="0" w:afterAutospacing="0" w:line="360" w:lineRule="auto"/>
        <w:ind w:left="0" w:leftChars="0" w:right="0"/>
        <w:jc w:val="center"/>
        <w:textAlignment w:val="auto"/>
        <w:outlineLvl w:val="9"/>
        <w:rPr>
          <w:rFonts w:hint="eastAsia" w:ascii="宋体" w:hAnsi="宋体" w:eastAsia="宋体" w:cs="宋体"/>
          <w:b/>
          <w:bCs/>
          <w:sz w:val="44"/>
          <w:szCs w:val="44"/>
          <w:shd w:val="clear" w:color="030000" w:fill="FFFFFF"/>
          <w:lang w:val="en-US" w:eastAsia="zh-CN"/>
        </w:rPr>
      </w:pPr>
      <w:r>
        <w:rPr>
          <w:rFonts w:hint="eastAsia" w:ascii="宋体" w:hAnsi="宋体" w:eastAsia="宋体" w:cs="宋体"/>
          <w:b/>
          <w:bCs/>
          <w:sz w:val="44"/>
          <w:szCs w:val="44"/>
          <w:shd w:val="clear" w:color="030000" w:fill="FFFFFF"/>
          <w:lang w:val="en-US" w:eastAsia="zh-CN"/>
        </w:rPr>
        <w:t>关于代销“华能信托-云诚24-1号集合资金信托计划”</w:t>
      </w:r>
      <w:r>
        <w:rPr>
          <w:rFonts w:hint="eastAsia" w:ascii="宋体" w:hAnsi="宋体" w:cs="宋体"/>
          <w:b/>
          <w:bCs/>
          <w:sz w:val="44"/>
          <w:szCs w:val="44"/>
          <w:shd w:val="clear" w:color="030000" w:fill="FFFFFF"/>
          <w:lang w:val="en-US" w:eastAsia="zh-CN"/>
        </w:rPr>
        <w:t>（第二期）</w:t>
      </w:r>
      <w:r>
        <w:rPr>
          <w:rFonts w:hint="eastAsia" w:ascii="宋体" w:hAnsi="宋体" w:eastAsia="宋体" w:cs="宋体"/>
          <w:b/>
          <w:bCs/>
          <w:sz w:val="44"/>
          <w:szCs w:val="44"/>
          <w:shd w:val="clear" w:color="030000" w:fill="FFFFFF"/>
          <w:lang w:val="en-US" w:eastAsia="zh-CN"/>
        </w:rPr>
        <w:t>的公告</w:t>
      </w:r>
    </w:p>
    <w:p>
      <w:pPr>
        <w:pStyle w:val="3"/>
        <w:widowControl/>
        <w:wordWrap/>
        <w:adjustRightInd/>
        <w:snapToGrid/>
        <w:spacing w:before="0" w:beforeAutospacing="0" w:after="0" w:afterAutospacing="0" w:line="360" w:lineRule="auto"/>
        <w:ind w:left="0" w:leftChars="0" w:right="0"/>
        <w:jc w:val="left"/>
        <w:textAlignment w:val="auto"/>
        <w:outlineLvl w:val="9"/>
        <w:rPr>
          <w:rFonts w:hint="eastAsia" w:ascii="宋体" w:hAnsi="宋体" w:eastAsia="宋体" w:cs="宋体"/>
          <w:b/>
          <w:bCs/>
          <w:sz w:val="24"/>
          <w:szCs w:val="24"/>
          <w:shd w:val="clear" w:color="030000" w:fill="FFFFFF"/>
          <w:lang w:val="en-US" w:eastAsia="zh-CN"/>
        </w:rPr>
      </w:pPr>
    </w:p>
    <w:p>
      <w:pPr>
        <w:pStyle w:val="3"/>
        <w:widowControl/>
        <w:wordWrap/>
        <w:adjustRightInd/>
        <w:snapToGrid/>
        <w:spacing w:before="0" w:beforeAutospacing="0" w:after="0" w:afterAutospacing="0" w:line="360" w:lineRule="auto"/>
        <w:ind w:left="0" w:leftChars="0" w:right="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shd w:val="clear" w:color="030000" w:fill="FFFFFF"/>
          <w:lang w:val="en-US" w:eastAsia="zh-CN"/>
        </w:rPr>
        <w:t>尊敬的投资者</w:t>
      </w:r>
      <w:r>
        <w:rPr>
          <w:rFonts w:hint="eastAsia" w:ascii="仿宋" w:hAnsi="仿宋" w:eastAsia="仿宋" w:cs="仿宋"/>
          <w:sz w:val="32"/>
          <w:szCs w:val="32"/>
          <w:shd w:val="clear" w:color="030000" w:fill="FFFFFF"/>
        </w:rPr>
        <w:t>：</w:t>
      </w:r>
    </w:p>
    <w:p>
      <w:pPr>
        <w:numPr>
          <w:ilvl w:val="0"/>
          <w:numId w:val="0"/>
        </w:numPr>
        <w:wordWrap/>
        <w:adjustRightInd/>
        <w:snapToGrid/>
        <w:spacing w:line="36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030000" w:fill="FFFFFF"/>
          <w:lang w:val="en-US" w:eastAsia="zh-CN"/>
        </w:rPr>
        <w:t>本</w:t>
      </w:r>
      <w:r>
        <w:rPr>
          <w:rFonts w:hint="eastAsia" w:ascii="仿宋" w:hAnsi="仿宋" w:eastAsia="仿宋" w:cs="仿宋"/>
          <w:sz w:val="32"/>
          <w:szCs w:val="32"/>
          <w:shd w:val="clear" w:color="030000" w:fill="FFFFFF"/>
        </w:rPr>
        <w:t>行</w:t>
      </w:r>
      <w:r>
        <w:rPr>
          <w:rFonts w:hint="eastAsia" w:ascii="仿宋" w:hAnsi="仿宋" w:eastAsia="仿宋" w:cs="仿宋"/>
          <w:sz w:val="32"/>
          <w:szCs w:val="32"/>
          <w:shd w:val="clear" w:color="030000" w:fill="FFFFFF"/>
          <w:lang w:val="en-US" w:eastAsia="zh-CN"/>
        </w:rPr>
        <w:t>自2024年5月6日至5月10日</w:t>
      </w:r>
      <w:r>
        <w:rPr>
          <w:rFonts w:hint="eastAsia" w:ascii="仿宋" w:hAnsi="仿宋" w:eastAsia="仿宋" w:cs="仿宋"/>
          <w:sz w:val="32"/>
          <w:szCs w:val="32"/>
          <w:shd w:val="clear" w:color="030000" w:fill="FFFFFF"/>
        </w:rPr>
        <w:t>代理销售</w:t>
      </w:r>
      <w:r>
        <w:rPr>
          <w:rFonts w:hint="eastAsia" w:ascii="仿宋" w:hAnsi="仿宋" w:eastAsia="仿宋" w:cs="仿宋"/>
          <w:sz w:val="32"/>
          <w:szCs w:val="32"/>
          <w:shd w:val="clear" w:color="030000" w:fill="FFFFFF"/>
          <w:lang w:eastAsia="zh-CN"/>
        </w:rPr>
        <w:t>“</w:t>
      </w:r>
      <w:r>
        <w:rPr>
          <w:rFonts w:hint="eastAsia" w:ascii="仿宋" w:hAnsi="仿宋" w:eastAsia="仿宋" w:cs="仿宋"/>
          <w:sz w:val="32"/>
          <w:szCs w:val="32"/>
          <w:shd w:val="clear" w:color="030000" w:fill="FFFFFF"/>
        </w:rPr>
        <w:t>华能信托-云诚24-1号集合资金信托计划</w:t>
      </w:r>
      <w:r>
        <w:rPr>
          <w:rFonts w:hint="eastAsia" w:ascii="仿宋" w:hAnsi="仿宋" w:eastAsia="仿宋" w:cs="仿宋"/>
          <w:sz w:val="32"/>
          <w:szCs w:val="32"/>
          <w:shd w:val="clear" w:color="030000" w:fill="FFFFFF"/>
          <w:lang w:eastAsia="zh-CN"/>
        </w:rPr>
        <w:t>”（</w:t>
      </w:r>
      <w:r>
        <w:rPr>
          <w:rFonts w:hint="eastAsia" w:ascii="仿宋" w:hAnsi="仿宋" w:eastAsia="仿宋" w:cs="仿宋"/>
          <w:sz w:val="32"/>
          <w:szCs w:val="32"/>
          <w:shd w:val="clear" w:color="030000" w:fill="FFFFFF"/>
          <w:lang w:val="en-US" w:eastAsia="zh-CN"/>
        </w:rPr>
        <w:t>第二期</w:t>
      </w:r>
      <w:r>
        <w:rPr>
          <w:rFonts w:hint="eastAsia" w:ascii="仿宋" w:hAnsi="仿宋" w:eastAsia="仿宋" w:cs="仿宋"/>
          <w:sz w:val="32"/>
          <w:szCs w:val="32"/>
          <w:shd w:val="clear" w:color="030000" w:fill="FFFFFF"/>
          <w:lang w:eastAsia="zh-CN"/>
        </w:rPr>
        <w:t>）</w:t>
      </w:r>
      <w:r>
        <w:rPr>
          <w:rFonts w:hint="eastAsia" w:ascii="仿宋" w:hAnsi="仿宋" w:eastAsia="仿宋" w:cs="仿宋"/>
          <w:sz w:val="32"/>
          <w:szCs w:val="32"/>
          <w:shd w:val="clear" w:color="030000" w:fill="FFFFFF"/>
        </w:rPr>
        <w:t>，</w:t>
      </w:r>
      <w:r>
        <w:rPr>
          <w:rFonts w:hint="eastAsia" w:ascii="仿宋" w:hAnsi="仿宋" w:eastAsia="仿宋" w:cs="仿宋"/>
          <w:sz w:val="32"/>
          <w:szCs w:val="32"/>
          <w:shd w:val="clear" w:color="030000" w:fill="FFFFFF"/>
          <w:lang w:val="en-US" w:eastAsia="zh-CN"/>
        </w:rPr>
        <w:t>产品简介</w:t>
      </w:r>
      <w:r>
        <w:rPr>
          <w:rFonts w:hint="eastAsia" w:ascii="仿宋" w:hAnsi="仿宋" w:eastAsia="仿宋" w:cs="仿宋"/>
          <w:sz w:val="32"/>
          <w:szCs w:val="32"/>
          <w:shd w:val="clear" w:color="030000" w:fill="FFFFFF"/>
        </w:rPr>
        <w:t>如下：</w:t>
      </w:r>
    </w:p>
    <w:tbl>
      <w:tblPr>
        <w:tblStyle w:val="5"/>
        <w:tblW w:w="8310" w:type="dxa"/>
        <w:tblInd w:w="-8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0"/>
        <w:gridCol w:w="6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bottom w:val="dashSmallGap" w:color="auto" w:sz="6" w:space="0"/>
              <w:right w:val="dashSmallGap" w:color="auto" w:sz="6" w:space="0"/>
              <w:tl2br w:val="nil"/>
              <w:tr2bl w:val="nil"/>
            </w:tcBorders>
            <w:vAlign w:val="top"/>
          </w:tcPr>
          <w:p>
            <w:pPr>
              <w:jc w:val="center"/>
              <w:rPr>
                <w:rFonts w:hint="eastAsia" w:ascii="仿宋" w:hAnsi="仿宋" w:eastAsia="仿宋" w:cs="仿宋"/>
                <w:b/>
                <w:color w:val="auto"/>
              </w:rPr>
            </w:pPr>
            <w:r>
              <w:rPr>
                <w:rFonts w:hint="eastAsia" w:ascii="仿宋" w:hAnsi="仿宋" w:eastAsia="仿宋" w:cs="仿宋"/>
                <w:b/>
                <w:color w:val="auto"/>
              </w:rPr>
              <w:t>项目</w:t>
            </w:r>
          </w:p>
        </w:tc>
        <w:tc>
          <w:tcPr>
            <w:tcW w:w="6570" w:type="dxa"/>
            <w:tcBorders>
              <w:left w:val="dashSmallGap" w:color="auto" w:sz="6" w:space="0"/>
              <w:bottom w:val="dashSmallGap" w:color="auto" w:sz="6" w:space="0"/>
              <w:tl2br w:val="nil"/>
              <w:tr2bl w:val="nil"/>
            </w:tcBorders>
            <w:vAlign w:val="top"/>
          </w:tcPr>
          <w:p>
            <w:pPr>
              <w:jc w:val="center"/>
              <w:rPr>
                <w:rFonts w:hint="eastAsia" w:ascii="仿宋" w:hAnsi="仿宋" w:eastAsia="仿宋" w:cs="仿宋"/>
                <w:b/>
                <w:color w:val="auto"/>
              </w:rPr>
            </w:pPr>
            <w:r>
              <w:rPr>
                <w:rFonts w:hint="eastAsia" w:ascii="仿宋" w:hAnsi="仿宋" w:eastAsia="仿宋" w:cs="仿宋"/>
                <w:b/>
                <w:color w:val="auto"/>
              </w:rPr>
              <w:t>主要内容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受托人</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rPr>
            </w:pPr>
            <w:r>
              <w:rPr>
                <w:rFonts w:hint="eastAsia" w:ascii="仿宋" w:hAnsi="仿宋" w:eastAsia="仿宋" w:cs="仿宋"/>
              </w:rPr>
              <w:t>华能贵诚信托有限公司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保管人</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color w:val="auto"/>
              </w:rPr>
            </w:pPr>
            <w:r>
              <w:rPr>
                <w:rFonts w:hint="eastAsia" w:ascii="仿宋" w:hAnsi="仿宋" w:eastAsia="仿宋" w:cs="仿宋"/>
                <w:bCs/>
              </w:rPr>
              <w:t>中国光大银行股份有限公司昆明分行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业绩比较基准</w:t>
            </w:r>
          </w:p>
        </w:tc>
        <w:tc>
          <w:tcPr>
            <w:tcW w:w="6570" w:type="dxa"/>
            <w:tcBorders>
              <w:top w:val="dashSmallGap" w:color="auto" w:sz="6" w:space="0"/>
              <w:left w:val="dashSmallGap" w:color="auto" w:sz="6" w:space="0"/>
              <w:bottom w:val="dashSmallGap" w:color="auto" w:sz="6" w:space="0"/>
              <w:tl2br w:val="nil"/>
              <w:tr2bl w:val="nil"/>
            </w:tcBorders>
            <w:vAlign w:val="center"/>
          </w:tcPr>
          <w:p>
            <w:pPr>
              <w:jc w:val="center"/>
              <w:rPr>
                <w:rFonts w:hint="eastAsia" w:ascii="仿宋" w:hAnsi="仿宋" w:eastAsia="仿宋" w:cs="仿宋"/>
                <w:bCs/>
              </w:rPr>
            </w:pPr>
            <w:r>
              <w:rPr>
                <w:rFonts w:hint="eastAsia" w:ascii="仿宋" w:hAnsi="仿宋" w:eastAsia="仿宋" w:cs="仿宋"/>
                <w:bCs/>
              </w:rPr>
              <w:t>4.6%/年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产品额度</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color w:val="auto"/>
              </w:rPr>
            </w:pPr>
            <w:r>
              <w:rPr>
                <w:rFonts w:hint="eastAsia" w:ascii="仿宋" w:hAnsi="仿宋" w:eastAsia="仿宋" w:cs="仿宋"/>
                <w:bCs/>
                <w:lang w:val="en-US" w:eastAsia="zh-CN"/>
              </w:rPr>
              <w:t>2730</w:t>
            </w:r>
            <w:r>
              <w:rPr>
                <w:rFonts w:hint="eastAsia" w:ascii="仿宋" w:hAnsi="仿宋" w:eastAsia="仿宋" w:cs="仿宋"/>
                <w:bCs/>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产品类型</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rPr>
            </w:pPr>
            <w:r>
              <w:rPr>
                <w:rFonts w:hint="eastAsia" w:ascii="仿宋" w:hAnsi="仿宋" w:eastAsia="仿宋" w:cs="仿宋"/>
                <w:bCs/>
              </w:rPr>
              <w:t>权益类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产品期限</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color w:val="auto"/>
              </w:rPr>
            </w:pPr>
            <w:r>
              <w:rPr>
                <w:rFonts w:hint="eastAsia" w:ascii="仿宋" w:hAnsi="仿宋" w:eastAsia="仿宋" w:cs="仿宋"/>
                <w:bCs/>
              </w:rPr>
              <w:t>预期存续期限届满日为2025年10月23日（527天）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认购起点</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rPr>
            </w:pPr>
            <w:r>
              <w:rPr>
                <w:rFonts w:hint="eastAsia" w:ascii="仿宋" w:hAnsi="仿宋" w:eastAsia="仿宋" w:cs="仿宋"/>
                <w:bCs/>
              </w:rPr>
              <w:t>100万元起，超过100万元后每10万递增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风险评级</w:t>
            </w:r>
          </w:p>
        </w:tc>
        <w:tc>
          <w:tcPr>
            <w:tcW w:w="6570" w:type="dxa"/>
            <w:tcBorders>
              <w:top w:val="dashSmallGap" w:color="auto" w:sz="6" w:space="0"/>
              <w:left w:val="dashSmallGap" w:color="auto" w:sz="6" w:space="0"/>
              <w:bottom w:val="dashSmallGap" w:color="auto" w:sz="6" w:space="0"/>
              <w:tl2br w:val="nil"/>
              <w:tr2bl w:val="nil"/>
            </w:tcBorders>
            <w:vAlign w:val="top"/>
          </w:tcPr>
          <w:p>
            <w:pPr>
              <w:jc w:val="center"/>
              <w:rPr>
                <w:rFonts w:hint="eastAsia" w:ascii="仿宋" w:hAnsi="仿宋" w:eastAsia="仿宋" w:cs="仿宋"/>
                <w:bCs/>
              </w:rPr>
            </w:pPr>
            <w:r>
              <w:rPr>
                <w:rFonts w:hint="eastAsia" w:ascii="仿宋" w:hAnsi="仿宋" w:eastAsia="仿宋" w:cs="仿宋"/>
                <w:bCs/>
              </w:rPr>
              <w:t>R</w:t>
            </w:r>
            <w:r>
              <w:rPr>
                <w:rFonts w:hint="eastAsia" w:ascii="仿宋" w:hAnsi="仿宋" w:eastAsia="仿宋" w:cs="仿宋"/>
                <w:bCs/>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募集期</w:t>
            </w:r>
          </w:p>
        </w:tc>
        <w:tc>
          <w:tcPr>
            <w:tcW w:w="6570" w:type="dxa"/>
            <w:tcBorders>
              <w:top w:val="dashSmallGap" w:color="auto" w:sz="6" w:space="0"/>
              <w:left w:val="dashSmallGap" w:color="auto" w:sz="6" w:space="0"/>
              <w:bottom w:val="dashSmallGap" w:color="auto" w:sz="6" w:space="0"/>
              <w:tl2br w:val="nil"/>
              <w:tr2bl w:val="nil"/>
            </w:tcBorders>
            <w:vAlign w:val="center"/>
          </w:tcPr>
          <w:p>
            <w:pPr>
              <w:jc w:val="center"/>
              <w:rPr>
                <w:rFonts w:hint="eastAsia" w:ascii="仿宋" w:hAnsi="仿宋" w:eastAsia="仿宋" w:cs="仿宋"/>
                <w:bCs/>
                <w:iCs/>
              </w:rPr>
            </w:pPr>
            <w:r>
              <w:rPr>
                <w:rFonts w:hint="eastAsia" w:ascii="仿宋" w:hAnsi="仿宋" w:eastAsia="仿宋" w:cs="仿宋"/>
                <w:bCs/>
                <w:iCs/>
              </w:rPr>
              <w:t>2024年</w:t>
            </w:r>
            <w:r>
              <w:rPr>
                <w:rFonts w:hint="eastAsia" w:ascii="仿宋" w:hAnsi="仿宋" w:eastAsia="仿宋" w:cs="仿宋"/>
                <w:bCs/>
                <w:iCs/>
                <w:lang w:val="en-US" w:eastAsia="zh-CN"/>
              </w:rPr>
              <w:t>5</w:t>
            </w:r>
            <w:r>
              <w:rPr>
                <w:rFonts w:hint="eastAsia" w:ascii="仿宋" w:hAnsi="仿宋" w:eastAsia="仿宋" w:cs="仿宋"/>
                <w:bCs/>
                <w:iCs/>
              </w:rPr>
              <w:t>月</w:t>
            </w:r>
            <w:r>
              <w:rPr>
                <w:rFonts w:hint="eastAsia" w:ascii="仿宋" w:hAnsi="仿宋" w:eastAsia="仿宋" w:cs="仿宋"/>
                <w:bCs/>
                <w:iCs/>
                <w:lang w:val="en-US" w:eastAsia="zh-CN"/>
              </w:rPr>
              <w:t>6</w:t>
            </w:r>
            <w:r>
              <w:rPr>
                <w:rFonts w:hint="eastAsia" w:ascii="仿宋" w:hAnsi="仿宋" w:eastAsia="仿宋" w:cs="仿宋"/>
                <w:bCs/>
                <w:iCs/>
              </w:rPr>
              <w:t>日-2024年</w:t>
            </w:r>
            <w:r>
              <w:rPr>
                <w:rFonts w:hint="eastAsia" w:ascii="仿宋" w:hAnsi="仿宋" w:eastAsia="仿宋" w:cs="仿宋"/>
                <w:bCs/>
                <w:iCs/>
                <w:lang w:val="en-US" w:eastAsia="zh-CN"/>
              </w:rPr>
              <w:t>5</w:t>
            </w:r>
            <w:r>
              <w:rPr>
                <w:rFonts w:hint="eastAsia" w:ascii="仿宋" w:hAnsi="仿宋" w:eastAsia="仿宋" w:cs="仿宋"/>
                <w:bCs/>
                <w:iCs/>
              </w:rPr>
              <w:t>月</w:t>
            </w:r>
            <w:r>
              <w:rPr>
                <w:rFonts w:hint="eastAsia" w:ascii="仿宋" w:hAnsi="仿宋" w:eastAsia="仿宋" w:cs="仿宋"/>
                <w:bCs/>
                <w:iCs/>
                <w:lang w:val="en-US" w:eastAsia="zh-CN"/>
              </w:rPr>
              <w:t>10</w:t>
            </w:r>
            <w:r>
              <w:rPr>
                <w:rFonts w:hint="eastAsia" w:ascii="仿宋" w:hAnsi="仿宋" w:eastAsia="仿宋" w:cs="仿宋"/>
                <w:bCs/>
                <w:iCs/>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成立日</w:t>
            </w:r>
          </w:p>
        </w:tc>
        <w:tc>
          <w:tcPr>
            <w:tcW w:w="6570" w:type="dxa"/>
            <w:tcBorders>
              <w:top w:val="dashSmallGap" w:color="auto" w:sz="6" w:space="0"/>
              <w:left w:val="dashSmallGap" w:color="auto" w:sz="6" w:space="0"/>
              <w:tl2br w:val="nil"/>
              <w:tr2bl w:val="nil"/>
            </w:tcBorders>
            <w:vAlign w:val="top"/>
          </w:tcPr>
          <w:p>
            <w:pPr>
              <w:jc w:val="center"/>
              <w:rPr>
                <w:rFonts w:hint="eastAsia" w:ascii="仿宋" w:hAnsi="仿宋" w:eastAsia="仿宋" w:cs="仿宋"/>
                <w:bCs/>
                <w:iCs/>
              </w:rPr>
            </w:pPr>
            <w:r>
              <w:rPr>
                <w:rFonts w:hint="eastAsia" w:ascii="仿宋" w:hAnsi="仿宋" w:eastAsia="仿宋" w:cs="仿宋"/>
                <w:bCs/>
                <w:iCs/>
              </w:rPr>
              <w:t>202</w:t>
            </w:r>
            <w:r>
              <w:rPr>
                <w:rFonts w:hint="eastAsia" w:ascii="仿宋" w:hAnsi="仿宋" w:eastAsia="仿宋" w:cs="仿宋"/>
                <w:bCs/>
                <w:iCs/>
                <w:lang w:val="en-US" w:eastAsia="zh-CN"/>
              </w:rPr>
              <w:t>4</w:t>
            </w:r>
            <w:r>
              <w:rPr>
                <w:rFonts w:hint="eastAsia" w:ascii="仿宋" w:hAnsi="仿宋" w:eastAsia="仿宋" w:cs="仿宋"/>
                <w:bCs/>
                <w:iCs/>
              </w:rPr>
              <w:t>年</w:t>
            </w:r>
            <w:r>
              <w:rPr>
                <w:rFonts w:hint="eastAsia" w:ascii="仿宋" w:hAnsi="仿宋" w:eastAsia="仿宋" w:cs="仿宋"/>
                <w:bCs/>
                <w:iCs/>
                <w:lang w:val="en-US" w:eastAsia="zh-CN"/>
              </w:rPr>
              <w:t>5</w:t>
            </w:r>
            <w:r>
              <w:rPr>
                <w:rFonts w:hint="eastAsia" w:ascii="仿宋" w:hAnsi="仿宋" w:eastAsia="仿宋" w:cs="仿宋"/>
                <w:bCs/>
                <w:iCs/>
              </w:rPr>
              <w:t>月</w:t>
            </w:r>
            <w:r>
              <w:rPr>
                <w:rFonts w:hint="eastAsia" w:ascii="仿宋" w:hAnsi="仿宋" w:eastAsia="仿宋" w:cs="仿宋"/>
                <w:bCs/>
                <w:iCs/>
                <w:lang w:val="en-US" w:eastAsia="zh-CN"/>
              </w:rPr>
              <w:t>14</w:t>
            </w:r>
            <w:r>
              <w:rPr>
                <w:rFonts w:hint="eastAsia" w:ascii="仿宋" w:hAnsi="仿宋" w:eastAsia="仿宋" w:cs="仿宋"/>
                <w:bCs/>
                <w:iCs/>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预警线</w:t>
            </w:r>
          </w:p>
        </w:tc>
        <w:tc>
          <w:tcPr>
            <w:tcW w:w="6570" w:type="dxa"/>
            <w:tcBorders>
              <w:top w:val="dashSmallGap" w:color="auto" w:sz="6" w:space="0"/>
              <w:left w:val="dashSmallGap" w:color="auto" w:sz="6" w:space="0"/>
              <w:tl2br w:val="nil"/>
              <w:tr2bl w:val="nil"/>
            </w:tcBorders>
            <w:vAlign w:val="top"/>
          </w:tcPr>
          <w:p>
            <w:pPr>
              <w:jc w:val="center"/>
              <w:rPr>
                <w:rFonts w:hint="eastAsia" w:ascii="仿宋" w:hAnsi="仿宋" w:eastAsia="仿宋" w:cs="仿宋"/>
              </w:rPr>
            </w:pPr>
            <w:r>
              <w:rPr>
                <w:rFonts w:hint="eastAsia" w:ascii="仿宋" w:hAnsi="仿宋" w:eastAsia="仿宋" w:cs="仿宋"/>
              </w:rPr>
              <w:t>信托单位净值=0.98元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投资范围</w:t>
            </w:r>
          </w:p>
        </w:tc>
        <w:tc>
          <w:tcPr>
            <w:tcW w:w="6570" w:type="dxa"/>
            <w:tcBorders>
              <w:top w:val="dashSmallGap" w:color="auto" w:sz="6" w:space="0"/>
              <w:left w:val="dashSmallGap" w:color="auto" w:sz="6" w:space="0"/>
              <w:bottom w:val="dashSmallGap" w:color="auto" w:sz="6" w:space="0"/>
              <w:tl2br w:val="nil"/>
              <w:tr2bl w:val="nil"/>
            </w:tcBorders>
            <w:vAlign w:val="top"/>
          </w:tcPr>
          <w:p>
            <w:pPr>
              <w:jc w:val="left"/>
              <w:rPr>
                <w:rFonts w:hint="eastAsia" w:ascii="仿宋" w:hAnsi="仿宋" w:eastAsia="仿宋" w:cs="仿宋"/>
              </w:rPr>
            </w:pPr>
            <w:r>
              <w:rPr>
                <w:rFonts w:hint="eastAsia" w:ascii="仿宋" w:hAnsi="仿宋" w:eastAsia="仿宋" w:cs="仿宋"/>
              </w:rPr>
              <w:t>1）主要投资于由华能信托审议通过的其他权益类信托/资产管理计划等；以及在沪、深交易所上市交易的可交换债券、可转换债券或以其为投资标的且由华能信托审议通过的信托产品/资产管理计划等；</w:t>
            </w:r>
          </w:p>
          <w:p>
            <w:pPr>
              <w:jc w:val="left"/>
              <w:rPr>
                <w:rFonts w:hint="eastAsia" w:ascii="仿宋" w:hAnsi="仿宋" w:eastAsia="仿宋" w:cs="仿宋"/>
              </w:rPr>
            </w:pPr>
            <w:r>
              <w:rPr>
                <w:rFonts w:hint="eastAsia" w:ascii="仿宋" w:hAnsi="仿宋" w:eastAsia="仿宋" w:cs="仿宋"/>
              </w:rPr>
              <w:t>2）在沪深交易所/银行间市场发行的央行票据、货币市场基金、同业存款、同业存单、债券逆回购、资产支持票据、资产支持证券，和/或以上述资产为投资标的的华能信托审议通过的信托产品/资产管理计划等；</w:t>
            </w:r>
          </w:p>
          <w:p>
            <w:pPr>
              <w:jc w:val="left"/>
              <w:rPr>
                <w:rFonts w:hint="eastAsia" w:ascii="仿宋" w:hAnsi="仿宋" w:eastAsia="仿宋" w:cs="仿宋"/>
              </w:rPr>
            </w:pPr>
            <w:r>
              <w:rPr>
                <w:rFonts w:hint="eastAsia" w:ascii="仿宋" w:hAnsi="仿宋" w:eastAsia="仿宋" w:cs="仿宋"/>
              </w:rPr>
              <w:t>3）信托业保障基金。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bottom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产品费用</w:t>
            </w:r>
          </w:p>
        </w:tc>
        <w:tc>
          <w:tcPr>
            <w:tcW w:w="6570" w:type="dxa"/>
            <w:tcBorders>
              <w:top w:val="dashSmallGap" w:color="auto" w:sz="6" w:space="0"/>
              <w:left w:val="dashSmallGap" w:color="auto" w:sz="6" w:space="0"/>
              <w:bottom w:val="dashSmallGap" w:color="auto" w:sz="6" w:space="0"/>
              <w:tl2br w:val="nil"/>
              <w:tr2bl w:val="nil"/>
            </w:tcBorders>
            <w:vAlign w:val="top"/>
          </w:tcPr>
          <w:p>
            <w:pPr>
              <w:jc w:val="left"/>
              <w:rPr>
                <w:rFonts w:hint="eastAsia" w:ascii="仿宋" w:hAnsi="仿宋" w:eastAsia="仿宋" w:cs="仿宋"/>
              </w:rPr>
            </w:pPr>
            <w:r>
              <w:rPr>
                <w:rFonts w:hint="eastAsia" w:ascii="仿宋" w:hAnsi="仿宋" w:eastAsia="仿宋" w:cs="仿宋"/>
              </w:rPr>
              <w:t>托管费0.01%/年、信托事务管理费0.20%/年、固定信托报酬0.10%/年（分配顺序在受益人参考信托利益之后）。</w:t>
            </w:r>
          </w:p>
          <w:p>
            <w:pPr>
              <w:jc w:val="left"/>
              <w:rPr>
                <w:rFonts w:hint="eastAsia" w:ascii="仿宋" w:hAnsi="仿宋" w:eastAsia="仿宋" w:cs="仿宋"/>
              </w:rPr>
            </w:pPr>
            <w:r>
              <w:rPr>
                <w:rFonts w:hint="eastAsia" w:ascii="仿宋" w:hAnsi="仿宋" w:eastAsia="仿宋" w:cs="仿宋"/>
              </w:rPr>
              <w:t>注：每年6月20日、12月20日及信托计划终止日为固定部分费用（除固定信托报酬外）核算日。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40" w:type="dxa"/>
            <w:tcBorders>
              <w:top w:val="dashSmallGap" w:color="auto" w:sz="6" w:space="0"/>
              <w:right w:val="dashSmallGap" w:color="auto" w:sz="6" w:space="0"/>
              <w:tl2br w:val="nil"/>
              <w:tr2bl w:val="nil"/>
            </w:tcBorders>
            <w:vAlign w:val="center"/>
          </w:tcPr>
          <w:p>
            <w:pPr>
              <w:jc w:val="center"/>
              <w:rPr>
                <w:rFonts w:hint="eastAsia" w:ascii="仿宋" w:hAnsi="仿宋" w:eastAsia="仿宋" w:cs="仿宋"/>
                <w:b/>
                <w:color w:val="auto"/>
              </w:rPr>
            </w:pPr>
            <w:r>
              <w:rPr>
                <w:rFonts w:hint="eastAsia" w:ascii="仿宋" w:hAnsi="仿宋" w:eastAsia="仿宋" w:cs="仿宋"/>
                <w:b/>
                <w:color w:val="auto"/>
              </w:rPr>
              <w:t>信托利益分配</w:t>
            </w:r>
          </w:p>
        </w:tc>
        <w:tc>
          <w:tcPr>
            <w:tcW w:w="6570" w:type="dxa"/>
            <w:tcBorders>
              <w:top w:val="dashSmallGap" w:color="auto" w:sz="6" w:space="0"/>
              <w:left w:val="dashSmallGap" w:color="auto" w:sz="6" w:space="0"/>
              <w:tl2br w:val="nil"/>
              <w:tr2bl w:val="nil"/>
            </w:tcBorders>
            <w:vAlign w:val="top"/>
          </w:tcPr>
          <w:p>
            <w:pPr>
              <w:jc w:val="left"/>
              <w:rPr>
                <w:rFonts w:hint="eastAsia" w:ascii="仿宋" w:hAnsi="仿宋" w:eastAsia="仿宋" w:cs="仿宋"/>
              </w:rPr>
            </w:pPr>
            <w:r>
              <w:rPr>
                <w:rFonts w:hint="eastAsia" w:ascii="仿宋" w:hAnsi="仿宋" w:eastAsia="仿宋" w:cs="仿宋"/>
              </w:rPr>
              <w:t>于本信托计划到期时一次性分配；信托计划存续期间，受托人有权根据信托财产变现情况向受益人提前全部或部分分配信托利益。</w:t>
            </w:r>
          </w:p>
        </w:tc>
      </w:tr>
    </w:tbl>
    <w:p>
      <w:pPr>
        <w:pStyle w:val="3"/>
        <w:widowControl/>
        <w:spacing w:before="150" w:beforeAutospacing="0" w:after="76" w:afterAutospacing="0" w:line="555" w:lineRule="atLeast"/>
        <w:ind w:right="0"/>
        <w:jc w:val="left"/>
        <w:rPr>
          <w:rFonts w:hint="eastAsia" w:ascii="仿宋" w:hAnsi="仿宋" w:eastAsia="仿宋" w:cs="仿宋"/>
          <w:sz w:val="32"/>
          <w:szCs w:val="32"/>
          <w:shd w:val="clear" w:color="030000" w:fill="FFFFFF"/>
          <w:lang w:val="en-US" w:eastAsia="zh-CN"/>
        </w:rPr>
      </w:pPr>
    </w:p>
    <w:p>
      <w:pPr>
        <w:pStyle w:val="3"/>
        <w:widowControl/>
        <w:spacing w:before="150" w:beforeAutospacing="0" w:after="76" w:afterAutospacing="0" w:line="555" w:lineRule="atLeast"/>
        <w:ind w:right="0"/>
        <w:jc w:val="left"/>
        <w:rPr>
          <w:rFonts w:hint="eastAsia" w:ascii="仿宋" w:hAnsi="仿宋" w:eastAsia="仿宋" w:cs="仿宋"/>
          <w:sz w:val="32"/>
          <w:szCs w:val="32"/>
          <w:shd w:val="clear" w:color="030000" w:fill="FFFFFF"/>
          <w:lang w:val="en-US" w:eastAsia="zh-CN"/>
        </w:rPr>
      </w:pPr>
      <w:r>
        <w:rPr>
          <w:rFonts w:hint="eastAsia" w:ascii="仿宋" w:hAnsi="仿宋" w:eastAsia="仿宋" w:cs="仿宋"/>
          <w:sz w:val="32"/>
          <w:szCs w:val="32"/>
          <w:shd w:val="clear" w:color="030000" w:fill="FFFFFF"/>
          <w:lang w:val="en-US" w:eastAsia="zh-CN"/>
        </w:rPr>
        <w:t xml:space="preserve">    信托计划详情及相关风险详询富滇银行各营业网点。</w:t>
      </w:r>
    </w:p>
    <w:p>
      <w:pPr>
        <w:pStyle w:val="3"/>
        <w:widowControl/>
        <w:spacing w:before="150" w:beforeAutospacing="0" w:after="76" w:afterAutospacing="0" w:line="555" w:lineRule="atLeast"/>
        <w:ind w:left="0" w:right="0" w:firstLine="660"/>
        <w:jc w:val="left"/>
        <w:rPr>
          <w:rFonts w:hint="eastAsia" w:ascii="仿宋" w:hAnsi="仿宋" w:eastAsia="仿宋" w:cs="仿宋"/>
          <w:sz w:val="32"/>
          <w:szCs w:val="32"/>
        </w:rPr>
      </w:pPr>
      <w:r>
        <w:rPr>
          <w:rFonts w:hint="eastAsia" w:ascii="仿宋" w:hAnsi="仿宋" w:eastAsia="仿宋" w:cs="仿宋"/>
          <w:sz w:val="32"/>
          <w:szCs w:val="32"/>
          <w:shd w:val="clear" w:color="030000" w:fill="FFFFFF"/>
          <w:lang w:val="en-US" w:eastAsia="zh-CN"/>
        </w:rPr>
        <w:t>本产品由</w:t>
      </w:r>
      <w:r>
        <w:rPr>
          <w:rFonts w:hint="eastAsia" w:ascii="仿宋" w:hAnsi="仿宋" w:eastAsia="仿宋" w:cs="仿宋"/>
          <w:sz w:val="32"/>
          <w:szCs w:val="32"/>
          <w:shd w:val="clear" w:color="030000" w:fill="FFFFFF"/>
        </w:rPr>
        <w:t>华能贵诚信托有限公司</w:t>
      </w:r>
      <w:r>
        <w:rPr>
          <w:rFonts w:hint="eastAsia" w:ascii="仿宋" w:hAnsi="仿宋" w:eastAsia="仿宋" w:cs="仿宋"/>
          <w:sz w:val="32"/>
          <w:szCs w:val="32"/>
          <w:lang w:val="en-US" w:eastAsia="zh-CN"/>
        </w:rPr>
        <w:t>发行与管理，富滇银行不承担产品投资、兑付和风险管理责任。</w:t>
      </w: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shd w:val="clear" w:color="030000" w:fill="FFFFFF"/>
          <w:lang w:val="en-US" w:eastAsia="zh-CN"/>
        </w:rPr>
      </w:pP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shd w:val="clear" w:color="030000" w:fill="FFFFFF"/>
          <w:lang w:val="en-US" w:eastAsia="zh-CN"/>
        </w:rPr>
      </w:pPr>
      <w:r>
        <w:rPr>
          <w:rFonts w:hint="eastAsia" w:ascii="仿宋" w:hAnsi="仿宋" w:eastAsia="仿宋" w:cs="仿宋"/>
          <w:sz w:val="32"/>
          <w:szCs w:val="32"/>
          <w:shd w:val="clear" w:color="030000" w:fill="FFFFFF"/>
          <w:lang w:val="en-US" w:eastAsia="zh-CN"/>
        </w:rPr>
        <w:t>富滇银行股份有限公司</w:t>
      </w: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rPr>
      </w:pPr>
      <w:r>
        <w:rPr>
          <w:rFonts w:hint="eastAsia" w:ascii="仿宋" w:hAnsi="仿宋" w:eastAsia="仿宋" w:cs="仿宋"/>
          <w:sz w:val="32"/>
          <w:szCs w:val="32"/>
          <w:shd w:val="clear" w:color="030000" w:fill="FFFFFF"/>
        </w:rPr>
        <w:t>202</w:t>
      </w:r>
      <w:r>
        <w:rPr>
          <w:rFonts w:hint="eastAsia" w:ascii="仿宋" w:hAnsi="仿宋" w:eastAsia="仿宋" w:cs="仿宋"/>
          <w:sz w:val="32"/>
          <w:szCs w:val="32"/>
          <w:shd w:val="clear" w:color="030000" w:fill="FFFFFF"/>
          <w:lang w:val="en-US" w:eastAsia="zh-CN"/>
        </w:rPr>
        <w:t>4</w:t>
      </w:r>
      <w:r>
        <w:rPr>
          <w:rFonts w:hint="eastAsia" w:ascii="仿宋" w:hAnsi="仿宋" w:eastAsia="仿宋" w:cs="仿宋"/>
          <w:sz w:val="32"/>
          <w:szCs w:val="32"/>
          <w:shd w:val="clear" w:color="030000" w:fill="FFFFFF"/>
        </w:rPr>
        <w:t>年</w:t>
      </w:r>
      <w:r>
        <w:rPr>
          <w:rFonts w:hint="eastAsia" w:ascii="仿宋" w:hAnsi="仿宋" w:eastAsia="仿宋" w:cs="仿宋"/>
          <w:sz w:val="32"/>
          <w:szCs w:val="32"/>
          <w:shd w:val="clear" w:color="030000" w:fill="FFFFFF"/>
          <w:lang w:val="en-US" w:eastAsia="zh-CN"/>
        </w:rPr>
        <w:t>4</w:t>
      </w:r>
      <w:r>
        <w:rPr>
          <w:rFonts w:hint="eastAsia" w:ascii="仿宋" w:hAnsi="仿宋" w:eastAsia="仿宋" w:cs="仿宋"/>
          <w:sz w:val="32"/>
          <w:szCs w:val="32"/>
          <w:shd w:val="clear" w:color="030000" w:fill="FFFFFF"/>
        </w:rPr>
        <w:t>月</w:t>
      </w:r>
      <w:r>
        <w:rPr>
          <w:rFonts w:hint="eastAsia" w:ascii="仿宋" w:hAnsi="仿宋" w:eastAsia="仿宋" w:cs="仿宋"/>
          <w:sz w:val="32"/>
          <w:szCs w:val="32"/>
          <w:shd w:val="clear" w:color="030000" w:fill="FFFFFF"/>
          <w:lang w:val="en-US" w:eastAsia="zh-CN"/>
        </w:rPr>
        <w:t>25</w:t>
      </w:r>
      <w:r>
        <w:rPr>
          <w:rFonts w:hint="eastAsia" w:ascii="仿宋" w:hAnsi="仿宋" w:eastAsia="仿宋" w:cs="仿宋"/>
          <w:sz w:val="32"/>
          <w:szCs w:val="32"/>
          <w:shd w:val="clear" w:color="030000" w:fill="FFFFFF"/>
        </w:rPr>
        <w:t>日</w:t>
      </w:r>
      <w:bookmarkStart w:id="0" w:name="_GoBack"/>
      <w:bookmarkEnd w:id="0"/>
    </w:p>
    <w:p>
      <w:pPr>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D2121E"/>
    <w:rsid w:val="00DE3DFA"/>
    <w:rsid w:val="01373D4C"/>
    <w:rsid w:val="020C4A3E"/>
    <w:rsid w:val="02A86BF8"/>
    <w:rsid w:val="03420F5A"/>
    <w:rsid w:val="065B1B3D"/>
    <w:rsid w:val="07774C58"/>
    <w:rsid w:val="090B6391"/>
    <w:rsid w:val="095E5500"/>
    <w:rsid w:val="09FC6DD0"/>
    <w:rsid w:val="0A302CE2"/>
    <w:rsid w:val="0A5E508E"/>
    <w:rsid w:val="0A7416A1"/>
    <w:rsid w:val="0A871AD6"/>
    <w:rsid w:val="0AC8253F"/>
    <w:rsid w:val="0BEA0098"/>
    <w:rsid w:val="0BF150A5"/>
    <w:rsid w:val="0C721B2E"/>
    <w:rsid w:val="0DCA79F1"/>
    <w:rsid w:val="0FA0293D"/>
    <w:rsid w:val="0FCC0FF8"/>
    <w:rsid w:val="10AB2BE5"/>
    <w:rsid w:val="12B85398"/>
    <w:rsid w:val="12B86EE8"/>
    <w:rsid w:val="12D4417D"/>
    <w:rsid w:val="12E17E2E"/>
    <w:rsid w:val="15443677"/>
    <w:rsid w:val="158255E8"/>
    <w:rsid w:val="168168C1"/>
    <w:rsid w:val="16B43E0F"/>
    <w:rsid w:val="16BA4D90"/>
    <w:rsid w:val="16E44AB4"/>
    <w:rsid w:val="16FA16C0"/>
    <w:rsid w:val="183271AA"/>
    <w:rsid w:val="184B6D3F"/>
    <w:rsid w:val="19401370"/>
    <w:rsid w:val="194E1AA7"/>
    <w:rsid w:val="195C0FB1"/>
    <w:rsid w:val="1A200389"/>
    <w:rsid w:val="1A2F1202"/>
    <w:rsid w:val="1A42248D"/>
    <w:rsid w:val="1A4B6B87"/>
    <w:rsid w:val="1A5204BD"/>
    <w:rsid w:val="1AE25AC4"/>
    <w:rsid w:val="1B196F8A"/>
    <w:rsid w:val="1B5B2EEE"/>
    <w:rsid w:val="1CAF531B"/>
    <w:rsid w:val="1D995F3E"/>
    <w:rsid w:val="20B57099"/>
    <w:rsid w:val="21167369"/>
    <w:rsid w:val="219E0135"/>
    <w:rsid w:val="22325A02"/>
    <w:rsid w:val="23E34242"/>
    <w:rsid w:val="253D7326"/>
    <w:rsid w:val="25731D7F"/>
    <w:rsid w:val="25CC798C"/>
    <w:rsid w:val="2633302A"/>
    <w:rsid w:val="2750388E"/>
    <w:rsid w:val="28894890"/>
    <w:rsid w:val="28962A0F"/>
    <w:rsid w:val="295C266A"/>
    <w:rsid w:val="29BC4E57"/>
    <w:rsid w:val="2A4662E5"/>
    <w:rsid w:val="2B097438"/>
    <w:rsid w:val="2B76220E"/>
    <w:rsid w:val="2C170757"/>
    <w:rsid w:val="2E1C5B78"/>
    <w:rsid w:val="2E232A64"/>
    <w:rsid w:val="2EE826CF"/>
    <w:rsid w:val="2F594BBE"/>
    <w:rsid w:val="2F64514D"/>
    <w:rsid w:val="30247B0A"/>
    <w:rsid w:val="317F4543"/>
    <w:rsid w:val="32545188"/>
    <w:rsid w:val="328174AA"/>
    <w:rsid w:val="333D1A82"/>
    <w:rsid w:val="336736C1"/>
    <w:rsid w:val="34AD46FA"/>
    <w:rsid w:val="34EF5164"/>
    <w:rsid w:val="367811BE"/>
    <w:rsid w:val="36DA046A"/>
    <w:rsid w:val="37677F1B"/>
    <w:rsid w:val="3798788E"/>
    <w:rsid w:val="38D06409"/>
    <w:rsid w:val="39DF54D4"/>
    <w:rsid w:val="3B6362F8"/>
    <w:rsid w:val="3BA3267B"/>
    <w:rsid w:val="3C2C775F"/>
    <w:rsid w:val="3C972F77"/>
    <w:rsid w:val="3CB44AA5"/>
    <w:rsid w:val="3D083CA8"/>
    <w:rsid w:val="3DF45431"/>
    <w:rsid w:val="3E113DBD"/>
    <w:rsid w:val="3F043070"/>
    <w:rsid w:val="3F66564E"/>
    <w:rsid w:val="3FF74C02"/>
    <w:rsid w:val="406F50E1"/>
    <w:rsid w:val="40983EE7"/>
    <w:rsid w:val="40C06849"/>
    <w:rsid w:val="41353855"/>
    <w:rsid w:val="424247BC"/>
    <w:rsid w:val="42D9273C"/>
    <w:rsid w:val="44A567F4"/>
    <w:rsid w:val="451F3A07"/>
    <w:rsid w:val="4675403F"/>
    <w:rsid w:val="46AF5ACA"/>
    <w:rsid w:val="46C11D22"/>
    <w:rsid w:val="46D22159"/>
    <w:rsid w:val="46E50C5D"/>
    <w:rsid w:val="47576DC0"/>
    <w:rsid w:val="4890165D"/>
    <w:rsid w:val="48AD2A8C"/>
    <w:rsid w:val="4B9F639D"/>
    <w:rsid w:val="4BFA5E2A"/>
    <w:rsid w:val="4C083E12"/>
    <w:rsid w:val="4C43492C"/>
    <w:rsid w:val="4D0C2439"/>
    <w:rsid w:val="4D1C4AC2"/>
    <w:rsid w:val="4DB27468"/>
    <w:rsid w:val="4E296290"/>
    <w:rsid w:val="4E706CD7"/>
    <w:rsid w:val="5070781B"/>
    <w:rsid w:val="514C30F0"/>
    <w:rsid w:val="51A61200"/>
    <w:rsid w:val="52006BBA"/>
    <w:rsid w:val="522E6483"/>
    <w:rsid w:val="52CB6DE5"/>
    <w:rsid w:val="53157D34"/>
    <w:rsid w:val="531E63DE"/>
    <w:rsid w:val="535C5AC0"/>
    <w:rsid w:val="5398250A"/>
    <w:rsid w:val="541762A7"/>
    <w:rsid w:val="551D0C46"/>
    <w:rsid w:val="55FB249F"/>
    <w:rsid w:val="56073564"/>
    <w:rsid w:val="567724F9"/>
    <w:rsid w:val="56E2062F"/>
    <w:rsid w:val="57044ED0"/>
    <w:rsid w:val="57BE1196"/>
    <w:rsid w:val="58156012"/>
    <w:rsid w:val="586370A9"/>
    <w:rsid w:val="58D0689F"/>
    <w:rsid w:val="5A6E47C6"/>
    <w:rsid w:val="5AB715FE"/>
    <w:rsid w:val="5BF32AEA"/>
    <w:rsid w:val="5BFA7CDF"/>
    <w:rsid w:val="5D4027F1"/>
    <w:rsid w:val="5E886755"/>
    <w:rsid w:val="5F6E43A8"/>
    <w:rsid w:val="5FB261B7"/>
    <w:rsid w:val="60C014F6"/>
    <w:rsid w:val="61B968F5"/>
    <w:rsid w:val="62066A93"/>
    <w:rsid w:val="62161BAC"/>
    <w:rsid w:val="62DA005E"/>
    <w:rsid w:val="63D74C00"/>
    <w:rsid w:val="640A5C97"/>
    <w:rsid w:val="64393C7E"/>
    <w:rsid w:val="645D7336"/>
    <w:rsid w:val="64C54DBF"/>
    <w:rsid w:val="64CB796A"/>
    <w:rsid w:val="66375CC2"/>
    <w:rsid w:val="68851CA9"/>
    <w:rsid w:val="68F010FE"/>
    <w:rsid w:val="69D74EB4"/>
    <w:rsid w:val="6A492A73"/>
    <w:rsid w:val="6B7D6262"/>
    <w:rsid w:val="6B861377"/>
    <w:rsid w:val="6BB43A79"/>
    <w:rsid w:val="6D913ADB"/>
    <w:rsid w:val="6E085B93"/>
    <w:rsid w:val="6F3C490B"/>
    <w:rsid w:val="6FF96C8B"/>
    <w:rsid w:val="700F6FBC"/>
    <w:rsid w:val="71DD4E6D"/>
    <w:rsid w:val="71E46968"/>
    <w:rsid w:val="722A1ADB"/>
    <w:rsid w:val="723A1635"/>
    <w:rsid w:val="7261385D"/>
    <w:rsid w:val="72663EBE"/>
    <w:rsid w:val="73651863"/>
    <w:rsid w:val="740A0CEC"/>
    <w:rsid w:val="759810C1"/>
    <w:rsid w:val="761C5254"/>
    <w:rsid w:val="76722A48"/>
    <w:rsid w:val="76F03BC9"/>
    <w:rsid w:val="78640877"/>
    <w:rsid w:val="7955121E"/>
    <w:rsid w:val="798F168E"/>
    <w:rsid w:val="79E8078D"/>
    <w:rsid w:val="79F06E67"/>
    <w:rsid w:val="7B2F04C0"/>
    <w:rsid w:val="7B3958A3"/>
    <w:rsid w:val="7B7F6376"/>
    <w:rsid w:val="7B9F58E0"/>
    <w:rsid w:val="7BE505D2"/>
    <w:rsid w:val="7D163C61"/>
    <w:rsid w:val="7D237C5A"/>
    <w:rsid w:val="7E4029B0"/>
    <w:rsid w:val="7F717011"/>
    <w:rsid w:val="7FAB0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0" w:after="0" w:afterAutospacing="0"/>
      <w:ind w:left="0" w:right="0"/>
      <w:jc w:val="left"/>
    </w:pPr>
    <w:rPr>
      <w:kern w:val="0"/>
      <w:sz w:val="24"/>
      <w:lang w:val="en-US" w:eastAsia="zh-CN"/>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2021-09-28T07:14:00Z</dcterms:created>
  <dc:creator>tony</dc:creator>
  <cp:lastModifiedBy>FUDIAN</cp:lastModifiedBy>
  <dcterms:modified xsi:type="dcterms:W3CDTF">2024-04-25T07:29:14Z</dcterms:modified>
  <dc:title>关于光大信托-宝汇集合资金信托计划鼎益2105期培训及发行通知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CBDF3825DC7247D0AEC96E1BB3A7BEF4</vt:lpwstr>
  </property>
</Properties>
</file>